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6D7A25">
      <w:pPr>
        <w:spacing w:line="180" w:lineRule="auto"/>
        <w:jc w:val="center"/>
        <w:rPr>
          <w:color w:val="000000"/>
          <w:sz w:val="72"/>
        </w:rPr>
      </w:pPr>
    </w:p>
    <w:p w14:paraId="6C4F3597">
      <w:pPr>
        <w:spacing w:line="180" w:lineRule="auto"/>
        <w:jc w:val="center"/>
        <w:rPr>
          <w:rFonts w:ascii="宋体" w:hAnsi="宋体"/>
          <w:b/>
          <w:color w:val="000000"/>
          <w:sz w:val="72"/>
        </w:rPr>
      </w:pPr>
      <w:r>
        <w:rPr>
          <w:rFonts w:hint="eastAsia" w:ascii="宋体" w:hAnsi="宋体"/>
          <w:b/>
          <w:color w:val="000000"/>
          <w:sz w:val="72"/>
        </w:rPr>
        <w:t>房地产估价报告书</w:t>
      </w:r>
    </w:p>
    <w:p w14:paraId="008AA64F">
      <w:pPr>
        <w:spacing w:line="180" w:lineRule="auto"/>
        <w:jc w:val="center"/>
        <w:rPr>
          <w:color w:val="000000"/>
          <w:sz w:val="36"/>
        </w:rPr>
      </w:pPr>
      <w:r>
        <w:rPr>
          <w:rFonts w:hint="eastAsia"/>
          <w:color w:val="000000"/>
          <w:sz w:val="36"/>
        </w:rPr>
        <w:t>REAL  ESTATE  APPAISAL  REPORT</w:t>
      </w:r>
    </w:p>
    <w:p w14:paraId="5AADD2B3">
      <w:pPr>
        <w:spacing w:line="180" w:lineRule="auto"/>
        <w:jc w:val="center"/>
        <w:rPr>
          <w:rFonts w:ascii="仿宋_GB2312" w:eastAsia="仿宋_GB2312"/>
          <w:color w:val="000000"/>
        </w:rPr>
      </w:pPr>
      <w:r>
        <w:rPr>
          <w:rFonts w:hint="eastAsia" w:ascii="仿宋_GB2312" w:eastAsia="仿宋_GB2312"/>
          <w:color w:val="000000"/>
          <w:szCs w:val="28"/>
          <w:lang w:eastAsia="zh-CN"/>
        </w:rPr>
        <w:t>冯光海</w:t>
      </w:r>
      <w:r>
        <w:rPr>
          <w:rFonts w:hint="eastAsia" w:ascii="仿宋_GB2312" w:eastAsia="仿宋_GB2312"/>
          <w:color w:val="000000"/>
          <w:szCs w:val="28"/>
          <w:lang w:val="en-US" w:eastAsia="zh-CN"/>
        </w:rPr>
        <w:t>位于美乐家园小区</w:t>
      </w:r>
      <w:r>
        <w:rPr>
          <w:rFonts w:hint="eastAsia" w:ascii="仿宋_GB2312" w:eastAsia="仿宋_GB2312"/>
          <w:color w:val="000000"/>
          <w:lang w:val="en-US" w:eastAsia="zh-CN"/>
        </w:rPr>
        <w:t>车库</w:t>
      </w:r>
      <w:r>
        <w:rPr>
          <w:rFonts w:hint="eastAsia" w:ascii="仿宋_GB2312" w:eastAsia="仿宋_GB2312"/>
          <w:color w:val="000000"/>
        </w:rPr>
        <w:t xml:space="preserve">估价报告 </w:t>
      </w:r>
    </w:p>
    <w:p w14:paraId="16B2B9DA">
      <w:pPr>
        <w:spacing w:line="180" w:lineRule="auto"/>
        <w:jc w:val="center"/>
        <w:rPr>
          <w:rFonts w:ascii="仿宋_GB2312" w:eastAsia="仿宋_GB2312"/>
          <w:color w:val="000000"/>
        </w:rPr>
      </w:pPr>
    </w:p>
    <w:p w14:paraId="0E9ED9CF">
      <w:pPr>
        <w:spacing w:line="180" w:lineRule="auto"/>
        <w:jc w:val="center"/>
        <w:rPr>
          <w:rFonts w:hint="default" w:ascii="仿宋_GB2312" w:eastAsia="仿宋_GB2312"/>
          <w:color w:val="000000"/>
          <w:lang w:val="en-US" w:eastAsia="zh-CN"/>
        </w:rPr>
      </w:pPr>
      <w:r>
        <w:rPr>
          <w:rFonts w:hint="eastAsia" w:ascii="仿宋_GB2312" w:eastAsia="仿宋_GB2312"/>
          <w:color w:val="000000"/>
        </w:rPr>
        <w:t xml:space="preserve">                                             山东中创估字2024A</w:t>
      </w:r>
      <w:r>
        <w:rPr>
          <w:rFonts w:hint="eastAsia" w:ascii="仿宋_GB2312" w:eastAsia="仿宋_GB2312"/>
          <w:color w:val="000000"/>
          <w:lang w:val="en-US" w:eastAsia="zh-CN"/>
        </w:rPr>
        <w:t>314</w:t>
      </w:r>
    </w:p>
    <w:p w14:paraId="411C7897">
      <w:pPr>
        <w:spacing w:line="180" w:lineRule="auto"/>
        <w:rPr>
          <w:rFonts w:ascii="仿宋_GB2312" w:eastAsia="仿宋_GB2312"/>
          <w:color w:val="000000"/>
        </w:rPr>
      </w:pPr>
    </w:p>
    <w:p w14:paraId="1F9D8897">
      <w:pPr>
        <w:spacing w:line="180" w:lineRule="auto"/>
        <w:rPr>
          <w:rFonts w:ascii="仿宋_GB2312" w:eastAsia="仿宋_GB2312"/>
          <w:color w:val="000000"/>
        </w:rPr>
      </w:pPr>
    </w:p>
    <w:p w14:paraId="5B9C677A">
      <w:pPr>
        <w:spacing w:line="180" w:lineRule="auto"/>
        <w:rPr>
          <w:rFonts w:ascii="仿宋_GB2312" w:eastAsia="仿宋_GB2312"/>
          <w:color w:val="000000"/>
        </w:rPr>
      </w:pPr>
    </w:p>
    <w:p w14:paraId="78C08042">
      <w:pPr>
        <w:spacing w:line="180" w:lineRule="auto"/>
        <w:rPr>
          <w:rFonts w:ascii="仿宋_GB2312" w:eastAsia="仿宋_GB2312"/>
          <w:color w:val="000000"/>
        </w:rPr>
      </w:pPr>
    </w:p>
    <w:p w14:paraId="3015337C">
      <w:pPr>
        <w:spacing w:line="180" w:lineRule="auto"/>
        <w:rPr>
          <w:rFonts w:ascii="仿宋_GB2312" w:eastAsia="仿宋_GB2312"/>
          <w:color w:val="000000"/>
        </w:rPr>
      </w:pPr>
    </w:p>
    <w:p w14:paraId="27906014">
      <w:pPr>
        <w:spacing w:line="180" w:lineRule="auto"/>
        <w:rPr>
          <w:rFonts w:ascii="仿宋_GB2312" w:eastAsia="仿宋_GB2312"/>
          <w:color w:val="000000"/>
        </w:rPr>
      </w:pPr>
    </w:p>
    <w:p w14:paraId="75F1B565">
      <w:pPr>
        <w:spacing w:line="180" w:lineRule="auto"/>
        <w:rPr>
          <w:rFonts w:ascii="仿宋_GB2312" w:eastAsia="仿宋_GB2312"/>
          <w:color w:val="000000"/>
        </w:rPr>
      </w:pPr>
    </w:p>
    <w:p w14:paraId="3486737F">
      <w:pPr>
        <w:spacing w:line="180" w:lineRule="auto"/>
        <w:rPr>
          <w:rFonts w:ascii="仿宋_GB2312" w:eastAsia="仿宋_GB2312"/>
          <w:color w:val="000000"/>
        </w:rPr>
      </w:pPr>
    </w:p>
    <w:p w14:paraId="05A430DA">
      <w:pPr>
        <w:spacing w:line="180" w:lineRule="auto"/>
        <w:rPr>
          <w:rFonts w:ascii="仿宋_GB2312" w:eastAsia="仿宋_GB2312"/>
          <w:color w:val="000000"/>
        </w:rPr>
      </w:pPr>
    </w:p>
    <w:p w14:paraId="189D9228">
      <w:pPr>
        <w:spacing w:line="180" w:lineRule="auto"/>
        <w:rPr>
          <w:rFonts w:ascii="仿宋_GB2312" w:eastAsia="仿宋_GB2312"/>
          <w:color w:val="000000"/>
        </w:rPr>
      </w:pPr>
    </w:p>
    <w:p w14:paraId="00E34D43">
      <w:pPr>
        <w:spacing w:line="180" w:lineRule="auto"/>
        <w:ind w:left="1120" w:leftChars="400"/>
        <w:rPr>
          <w:rFonts w:ascii="仿宋_GB2312" w:eastAsia="仿宋_GB2312"/>
          <w:color w:val="000000"/>
          <w:sz w:val="32"/>
        </w:rPr>
      </w:pPr>
      <w:r>
        <w:rPr>
          <w:rFonts w:hint="eastAsia" w:ascii="仿宋_GB2312" w:eastAsia="仿宋_GB2312"/>
          <w:color w:val="000000"/>
          <w:sz w:val="32"/>
        </w:rPr>
        <w:t>委托人：莱州市人民法院</w:t>
      </w:r>
    </w:p>
    <w:p w14:paraId="0DD431BB">
      <w:pPr>
        <w:spacing w:line="180" w:lineRule="auto"/>
        <w:ind w:left="1120" w:leftChars="400"/>
        <w:rPr>
          <w:rFonts w:ascii="仿宋_GB2312" w:eastAsia="仿宋_GB2312"/>
          <w:color w:val="000000"/>
          <w:sz w:val="32"/>
        </w:rPr>
      </w:pPr>
      <w:r>
        <w:rPr>
          <w:rFonts w:hint="eastAsia" w:ascii="仿宋_GB2312" w:eastAsia="仿宋_GB2312"/>
          <w:color w:val="000000"/>
          <w:sz w:val="32"/>
        </w:rPr>
        <w:t xml:space="preserve">估价机构：山东中创土地房地产资产评估测绘有限公司 </w:t>
      </w:r>
    </w:p>
    <w:p w14:paraId="51F12DD6">
      <w:pPr>
        <w:spacing w:line="360" w:lineRule="auto"/>
        <w:ind w:firstLine="1120" w:firstLineChars="350"/>
        <w:rPr>
          <w:rFonts w:ascii="仿宋_GB2312" w:hAnsi="宋体" w:eastAsia="仿宋_GB2312"/>
          <w:color w:val="000000"/>
          <w:sz w:val="32"/>
          <w:szCs w:val="32"/>
        </w:rPr>
      </w:pPr>
      <w:r>
        <w:rPr>
          <w:rFonts w:hint="eastAsia" w:ascii="仿宋_GB2312" w:eastAsia="仿宋_GB2312"/>
          <w:color w:val="000000"/>
          <w:sz w:val="32"/>
        </w:rPr>
        <w:t>注册房地产估价师：</w:t>
      </w:r>
      <w:r>
        <w:rPr>
          <w:rFonts w:hint="eastAsia" w:ascii="仿宋_GB2312" w:hAnsi="宋体" w:eastAsia="仿宋_GB2312"/>
          <w:color w:val="000000"/>
          <w:sz w:val="32"/>
          <w:szCs w:val="32"/>
        </w:rPr>
        <w:t xml:space="preserve">滕晓荣  注册证号 3720060099   </w:t>
      </w:r>
    </w:p>
    <w:p w14:paraId="5148E1B5">
      <w:pPr>
        <w:spacing w:line="360" w:lineRule="auto"/>
        <w:ind w:firstLine="4000" w:firstLineChars="1250"/>
        <w:rPr>
          <w:rFonts w:ascii="宋体" w:hAnsi="宋体"/>
          <w:color w:val="000000"/>
          <w:szCs w:val="28"/>
        </w:rPr>
      </w:pPr>
      <w:r>
        <w:rPr>
          <w:rFonts w:hint="eastAsia" w:ascii="仿宋_GB2312" w:hAnsi="宋体" w:eastAsia="仿宋_GB2312"/>
          <w:color w:val="000000"/>
          <w:sz w:val="32"/>
          <w:szCs w:val="32"/>
        </w:rPr>
        <w:t>赵子健  注册证号 3720190046</w:t>
      </w:r>
      <w:r>
        <w:rPr>
          <w:rFonts w:hint="eastAsia" w:ascii="仿宋_GB2312" w:eastAsia="仿宋_GB2312"/>
          <w:color w:val="000000"/>
          <w:sz w:val="32"/>
        </w:rPr>
        <w:t xml:space="preserve">   </w:t>
      </w:r>
    </w:p>
    <w:p w14:paraId="0F5E3C9C">
      <w:pPr>
        <w:spacing w:line="180" w:lineRule="auto"/>
        <w:ind w:left="1120" w:leftChars="400"/>
        <w:rPr>
          <w:rFonts w:hint="eastAsia" w:ascii="仿宋_GB2312" w:eastAsia="仿宋_GB2312"/>
          <w:color w:val="000000"/>
          <w:sz w:val="32"/>
          <w:lang w:eastAsia="zh-CN"/>
        </w:rPr>
      </w:pPr>
      <w:r>
        <w:rPr>
          <w:rFonts w:hint="eastAsia" w:ascii="仿宋_GB2312" w:eastAsia="仿宋_GB2312"/>
          <w:color w:val="000000"/>
          <w:sz w:val="32"/>
        </w:rPr>
        <w:t>报告出具日期：</w:t>
      </w:r>
      <w:r>
        <w:rPr>
          <w:rFonts w:hint="eastAsia" w:ascii="仿宋_GB2312" w:eastAsia="仿宋_GB2312"/>
          <w:color w:val="000000"/>
          <w:sz w:val="32"/>
          <w:lang w:eastAsia="zh-CN"/>
        </w:rPr>
        <w:t>2024年11月28日</w:t>
      </w:r>
    </w:p>
    <w:p w14:paraId="48E7E09D">
      <w:pPr>
        <w:spacing w:line="180" w:lineRule="auto"/>
        <w:rPr>
          <w:color w:val="000000"/>
          <w:sz w:val="32"/>
        </w:rPr>
      </w:pPr>
    </w:p>
    <w:p w14:paraId="4D458AA4">
      <w:pPr>
        <w:spacing w:line="180" w:lineRule="auto"/>
        <w:rPr>
          <w:color w:val="000000"/>
          <w:sz w:val="32"/>
        </w:rPr>
      </w:pPr>
    </w:p>
    <w:p w14:paraId="0DCB8E39">
      <w:pPr>
        <w:spacing w:line="180" w:lineRule="auto"/>
        <w:ind w:firstLine="522" w:firstLineChars="100"/>
        <w:jc w:val="center"/>
        <w:rPr>
          <w:rFonts w:ascii="宋体" w:hAnsi="宋体"/>
          <w:b/>
          <w:color w:val="000000"/>
          <w:sz w:val="52"/>
        </w:rPr>
      </w:pPr>
    </w:p>
    <w:p w14:paraId="7120DE98">
      <w:pPr>
        <w:spacing w:line="640" w:lineRule="exact"/>
        <w:rPr>
          <w:rFonts w:ascii="宋体" w:hAnsi="宋体"/>
          <w:b/>
          <w:color w:val="000000"/>
          <w:sz w:val="52"/>
        </w:rPr>
        <w:sectPr>
          <w:footerReference r:id="rId3" w:type="default"/>
          <w:type w:val="continuous"/>
          <w:pgSz w:w="11906" w:h="16838"/>
          <w:pgMar w:top="1440" w:right="1077" w:bottom="1718" w:left="1077" w:header="851" w:footer="992" w:gutter="0"/>
          <w:pgNumType w:start="1"/>
          <w:cols w:space="720" w:num="1"/>
          <w:docGrid w:type="lines" w:linePitch="381" w:charSpace="0"/>
        </w:sectPr>
      </w:pPr>
    </w:p>
    <w:p w14:paraId="1682BA4B">
      <w:pPr>
        <w:spacing w:line="560" w:lineRule="exact"/>
        <w:jc w:val="center"/>
        <w:rPr>
          <w:rFonts w:ascii="宋体" w:hAnsi="宋体"/>
          <w:b/>
          <w:color w:val="000000"/>
          <w:sz w:val="44"/>
          <w:szCs w:val="44"/>
        </w:rPr>
      </w:pPr>
      <w:r>
        <w:rPr>
          <w:rFonts w:hint="eastAsia" w:ascii="宋体" w:hAnsi="宋体"/>
          <w:b/>
          <w:color w:val="000000"/>
          <w:sz w:val="44"/>
          <w:szCs w:val="44"/>
        </w:rPr>
        <w:t>致委托人函</w:t>
      </w:r>
    </w:p>
    <w:p w14:paraId="6C187D0F">
      <w:pPr>
        <w:spacing w:line="560" w:lineRule="exact"/>
        <w:rPr>
          <w:rFonts w:ascii="宋体" w:hAnsi="宋体"/>
          <w:b/>
          <w:color w:val="000000"/>
          <w:sz w:val="32"/>
          <w:szCs w:val="32"/>
        </w:rPr>
      </w:pPr>
      <w:r>
        <w:rPr>
          <w:rFonts w:hint="eastAsia" w:ascii="仿宋_GB2312" w:eastAsia="仿宋_GB2312"/>
          <w:color w:val="000000"/>
          <w:sz w:val="32"/>
          <w:szCs w:val="32"/>
        </w:rPr>
        <w:t>莱州市人民法院：</w:t>
      </w:r>
    </w:p>
    <w:p w14:paraId="5D27B79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rPr>
        <w:t>受贵方委托，我公司对</w:t>
      </w:r>
      <w:r>
        <w:rPr>
          <w:rFonts w:hint="eastAsia" w:ascii="仿宋_GB2312" w:eastAsia="仿宋_GB2312"/>
          <w:color w:val="000000"/>
          <w:szCs w:val="22"/>
          <w:lang w:eastAsia="zh-CN"/>
        </w:rPr>
        <w:t>冯光海</w:t>
      </w:r>
      <w:r>
        <w:rPr>
          <w:rFonts w:hint="eastAsia" w:ascii="仿宋_GB2312" w:eastAsia="仿宋_GB2312"/>
          <w:color w:val="000000"/>
          <w:szCs w:val="22"/>
        </w:rPr>
        <w:t>位于</w:t>
      </w:r>
      <w:r>
        <w:rPr>
          <w:rFonts w:hint="eastAsia" w:ascii="仿宋_GB2312" w:eastAsia="仿宋_GB2312"/>
          <w:color w:val="000000"/>
          <w:szCs w:val="22"/>
          <w:lang w:val="en-US" w:eastAsia="zh-CN"/>
        </w:rPr>
        <w:t>市区美乐家园1#楼23号车库房屋</w:t>
      </w:r>
      <w:r>
        <w:rPr>
          <w:rFonts w:hint="eastAsia" w:ascii="仿宋_GB2312" w:eastAsia="仿宋_GB2312"/>
          <w:color w:val="000000"/>
          <w:szCs w:val="22"/>
        </w:rPr>
        <w:t>在价值时点的市场价格进行了客观公正的估价。</w:t>
      </w:r>
    </w:p>
    <w:p w14:paraId="29FF652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000000"/>
          <w:szCs w:val="22"/>
          <w:lang w:eastAsia="zh-CN"/>
        </w:rPr>
      </w:pPr>
      <w:r>
        <w:rPr>
          <w:rFonts w:hint="eastAsia" w:ascii="仿宋_GB2312" w:eastAsia="仿宋_GB2312"/>
          <w:color w:val="000000"/>
          <w:szCs w:val="22"/>
        </w:rPr>
        <w:t>估价对象：</w:t>
      </w:r>
      <w:r>
        <w:rPr>
          <w:rFonts w:hint="eastAsia" w:ascii="仿宋_GB2312" w:eastAsia="仿宋_GB2312"/>
          <w:color w:val="000000"/>
          <w:szCs w:val="22"/>
          <w:lang w:eastAsia="zh-CN"/>
        </w:rPr>
        <w:t>冯光海</w:t>
      </w:r>
      <w:r>
        <w:rPr>
          <w:rFonts w:hint="eastAsia" w:ascii="仿宋_GB2312" w:eastAsia="仿宋_GB2312"/>
          <w:color w:val="000000"/>
          <w:szCs w:val="22"/>
        </w:rPr>
        <w:t>所属房地产,</w:t>
      </w:r>
      <w:bookmarkStart w:id="0" w:name="_Hlk80027286"/>
      <w:r>
        <w:rPr>
          <w:rFonts w:hint="eastAsia" w:ascii="仿宋_GB2312" w:eastAsia="仿宋_GB2312"/>
          <w:color w:val="000000"/>
          <w:szCs w:val="22"/>
        </w:rPr>
        <w:t>根据委托方提供的《不动产</w:t>
      </w:r>
      <w:r>
        <w:rPr>
          <w:rFonts w:hint="eastAsia" w:ascii="仿宋_GB2312" w:eastAsia="仿宋_GB2312"/>
          <w:color w:val="000000"/>
          <w:szCs w:val="22"/>
          <w:lang w:val="en-US" w:eastAsia="zh-CN"/>
        </w:rPr>
        <w:t>证书</w:t>
      </w:r>
      <w:r>
        <w:rPr>
          <w:rFonts w:hint="eastAsia" w:ascii="仿宋_GB2312" w:eastAsia="仿宋_GB2312"/>
          <w:color w:val="000000"/>
          <w:szCs w:val="22"/>
        </w:rPr>
        <w:t>》记载</w:t>
      </w:r>
      <w:bookmarkEnd w:id="0"/>
      <w:r>
        <w:rPr>
          <w:rFonts w:hint="eastAsia" w:ascii="仿宋_GB2312" w:eastAsia="仿宋_GB2312"/>
          <w:color w:val="000000"/>
          <w:szCs w:val="22"/>
          <w:lang w:eastAsia="zh-CN"/>
        </w:rPr>
        <w:t>，</w:t>
      </w:r>
      <w:r>
        <w:rPr>
          <w:rFonts w:hint="eastAsia" w:ascii="仿宋_GB2312" w:eastAsia="仿宋_GB2312"/>
          <w:color w:val="000000"/>
          <w:szCs w:val="22"/>
          <w:lang w:val="en-US" w:eastAsia="zh-CN"/>
        </w:rPr>
        <w:t>本次评估美乐家园1#楼车库23号，房产证编号莱房权证市区字第2000001973号，房屋建筑</w:t>
      </w:r>
      <w:r>
        <w:rPr>
          <w:rFonts w:ascii="仿宋_GB2312" w:eastAsia="仿宋_GB2312"/>
          <w:color w:val="000000"/>
          <w:szCs w:val="22"/>
        </w:rPr>
        <w:t>面积</w:t>
      </w:r>
      <w:r>
        <w:rPr>
          <w:rFonts w:hint="eastAsia" w:ascii="仿宋_GB2312" w:eastAsia="仿宋_GB2312"/>
          <w:color w:val="000000"/>
          <w:szCs w:val="22"/>
          <w:highlight w:val="none"/>
          <w:lang w:eastAsia="zh-CN"/>
        </w:rPr>
        <w:t>22.84</w:t>
      </w:r>
      <w:r>
        <w:rPr>
          <w:rFonts w:hint="eastAsia" w:ascii="仿宋_GB2312" w:eastAsia="仿宋_GB2312"/>
          <w:color w:val="000000"/>
          <w:szCs w:val="22"/>
        </w:rPr>
        <w:t>平</w:t>
      </w:r>
      <w:r>
        <w:rPr>
          <w:rFonts w:ascii="仿宋_GB2312" w:eastAsia="仿宋_GB2312"/>
          <w:color w:val="000000"/>
          <w:szCs w:val="22"/>
        </w:rPr>
        <w:t>方米</w:t>
      </w:r>
      <w:r>
        <w:rPr>
          <w:rFonts w:hint="eastAsia" w:ascii="仿宋_GB2312" w:eastAsia="仿宋_GB2312"/>
          <w:color w:val="000000"/>
          <w:szCs w:val="22"/>
          <w:lang w:eastAsia="zh-CN"/>
        </w:rPr>
        <w:t>，</w:t>
      </w:r>
      <w:r>
        <w:rPr>
          <w:rFonts w:hint="eastAsia" w:ascii="仿宋_GB2312" w:eastAsia="仿宋_GB2312"/>
          <w:color w:val="000000"/>
          <w:szCs w:val="22"/>
          <w:lang w:val="en-US" w:eastAsia="zh-CN"/>
        </w:rPr>
        <w:t>用途为车库，房屋总层数6层，所在层数1层；房屋现状为美乐家园小区南向车库，</w:t>
      </w:r>
      <w:r>
        <w:rPr>
          <w:rFonts w:hint="eastAsia" w:ascii="仿宋_GB2312" w:eastAsia="仿宋_GB2312"/>
          <w:b/>
          <w:bCs/>
          <w:color w:val="000000"/>
          <w:szCs w:val="22"/>
          <w:lang w:val="en-US" w:eastAsia="zh-CN"/>
        </w:rPr>
        <w:t>经改造与北侧美乐家园1#楼25、26号商业房打通相连接</w:t>
      </w:r>
      <w:r>
        <w:rPr>
          <w:rFonts w:hint="eastAsia" w:ascii="仿宋_GB2312" w:eastAsia="仿宋_GB2312"/>
          <w:color w:val="000000"/>
          <w:szCs w:val="22"/>
          <w:lang w:val="en-US" w:eastAsia="zh-CN"/>
        </w:rPr>
        <w:t>，南向车库门封闭改为窗，现为光州西街内科诊所租赁，室内普通装修，地面瓷砖，墙面涂料，顶棚石膏板吊顶带灯具，铝合金门窗，水电齐全，外墙涂料，房屋竣工时间200</w:t>
      </w:r>
      <w:bookmarkStart w:id="3" w:name="_GoBack"/>
      <w:bookmarkEnd w:id="3"/>
      <w:r>
        <w:rPr>
          <w:rFonts w:hint="eastAsia" w:ascii="仿宋_GB2312" w:eastAsia="仿宋_GB2312"/>
          <w:color w:val="000000"/>
          <w:szCs w:val="22"/>
          <w:lang w:val="en-US" w:eastAsia="zh-CN"/>
        </w:rPr>
        <w:t>2年。</w:t>
      </w:r>
    </w:p>
    <w:p w14:paraId="49A7413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本次评估的资产范围为估价对象的房屋所有权及相应分摊的国有土地使用权，包括房屋正常使用不可分割的共用设备设施、装饰装修及权利人合法享有的相关权益。</w:t>
      </w:r>
    </w:p>
    <w:p w14:paraId="006CB6D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不包括估价对象内的动产以及债权债务等其他财产或权益。</w:t>
      </w:r>
    </w:p>
    <w:p w14:paraId="04BFC2C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color w:val="000000"/>
          <w:szCs w:val="22"/>
          <w:lang w:eastAsia="zh-CN"/>
        </w:rPr>
      </w:pPr>
      <w:r>
        <w:rPr>
          <w:rFonts w:hint="eastAsia" w:ascii="仿宋_GB2312" w:eastAsia="仿宋_GB2312"/>
          <w:color w:val="000000"/>
          <w:szCs w:val="22"/>
        </w:rPr>
        <w:t>房屋装饰装修描述与现状不完全一致的或其他未述及部分，以现状实物为准</w:t>
      </w:r>
      <w:r>
        <w:rPr>
          <w:rFonts w:hint="eastAsia" w:ascii="仿宋_GB2312" w:eastAsia="仿宋_GB2312"/>
          <w:color w:val="000000"/>
          <w:szCs w:val="22"/>
          <w:lang w:eastAsia="zh-CN"/>
        </w:rPr>
        <w:t>。</w:t>
      </w:r>
    </w:p>
    <w:p w14:paraId="2F043F95">
      <w:pPr>
        <w:keepNext w:val="0"/>
        <w:keepLines w:val="0"/>
        <w:pageBreakBefore w:val="0"/>
        <w:widowControl w:val="0"/>
        <w:kinsoku/>
        <w:wordWrap/>
        <w:overflowPunct/>
        <w:topLinePunct w:val="0"/>
        <w:autoSpaceDE/>
        <w:autoSpaceDN/>
        <w:bidi w:val="0"/>
        <w:adjustRightInd/>
        <w:snapToGrid/>
        <w:spacing w:line="540" w:lineRule="exact"/>
        <w:ind w:left="560" w:leftChars="200"/>
        <w:textAlignment w:val="auto"/>
        <w:rPr>
          <w:rFonts w:ascii="仿宋_GB2312" w:eastAsia="仿宋_GB2312"/>
          <w:color w:val="000000"/>
          <w:szCs w:val="22"/>
        </w:rPr>
      </w:pPr>
      <w:r>
        <w:rPr>
          <w:rFonts w:hint="eastAsia" w:ascii="仿宋_GB2312" w:eastAsia="仿宋_GB2312"/>
          <w:color w:val="000000"/>
          <w:spacing w:val="-6"/>
          <w:szCs w:val="22"/>
        </w:rPr>
        <w:t>估价目的：</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442EF522">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hint="eastAsia" w:ascii="仿宋_GB2312" w:eastAsia="仿宋_GB2312"/>
          <w:color w:val="000000"/>
          <w:spacing w:val="-6"/>
          <w:szCs w:val="22"/>
          <w:lang w:eastAsia="zh-CN"/>
        </w:rPr>
      </w:pPr>
      <w:r>
        <w:rPr>
          <w:rFonts w:hint="eastAsia" w:ascii="仿宋_GB2312" w:eastAsia="仿宋_GB2312"/>
          <w:color w:val="000000"/>
          <w:spacing w:val="-6"/>
          <w:szCs w:val="22"/>
        </w:rPr>
        <w:t>价值时点：</w:t>
      </w:r>
      <w:r>
        <w:rPr>
          <w:rFonts w:hint="eastAsia" w:ascii="仿宋_GB2312" w:eastAsia="仿宋_GB2312"/>
          <w:color w:val="000000"/>
          <w:spacing w:val="-6"/>
          <w:szCs w:val="22"/>
          <w:lang w:eastAsia="zh-CN"/>
        </w:rPr>
        <w:t>二○二四年十一月一日</w:t>
      </w:r>
    </w:p>
    <w:p w14:paraId="6631C82D">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价值类型：市场价值</w:t>
      </w:r>
    </w:p>
    <w:p w14:paraId="0B977AF1">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ascii="仿宋_GB2312" w:eastAsia="仿宋_GB2312"/>
          <w:color w:val="000000"/>
          <w:spacing w:val="-6"/>
          <w:szCs w:val="22"/>
        </w:rPr>
      </w:pPr>
      <w:r>
        <w:rPr>
          <w:rFonts w:hint="eastAsia" w:ascii="仿宋_GB2312" w:eastAsia="仿宋_GB2312"/>
          <w:color w:val="000000"/>
          <w:spacing w:val="-6"/>
          <w:szCs w:val="22"/>
        </w:rPr>
        <w:t>估价方法：市场法、收益法</w:t>
      </w:r>
    </w:p>
    <w:p w14:paraId="5D7E0D7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b/>
          <w:bCs/>
          <w:color w:val="000000"/>
          <w:spacing w:val="-6"/>
          <w:szCs w:val="22"/>
        </w:rPr>
      </w:pPr>
      <w:r>
        <w:rPr>
          <w:rFonts w:hint="eastAsia" w:ascii="仿宋_GB2312" w:eastAsia="仿宋_GB2312"/>
          <w:color w:val="000000"/>
          <w:szCs w:val="22"/>
        </w:rPr>
        <w:t>估价结果：估价人员根据估价目的，遵循估价原则，按照估价工作程序，</w:t>
      </w:r>
      <w:r>
        <w:rPr>
          <w:rFonts w:hint="eastAsia" w:ascii="仿宋_GB2312" w:eastAsia="仿宋_GB2312"/>
          <w:spacing w:val="-6"/>
          <w:szCs w:val="22"/>
        </w:rPr>
        <w:t>采用合理的估价方法</w:t>
      </w:r>
      <w:r>
        <w:rPr>
          <w:rFonts w:hint="eastAsia" w:ascii="仿宋_GB2312" w:eastAsia="仿宋_GB2312"/>
          <w:color w:val="000000"/>
          <w:szCs w:val="22"/>
        </w:rPr>
        <w:t>，在认真分析现有资料的基础上，经过准确测算并结合估价经验分析确定：</w:t>
      </w:r>
      <w:r>
        <w:rPr>
          <w:rFonts w:hint="eastAsia" w:ascii="仿宋_GB2312" w:eastAsia="仿宋_GB2312"/>
          <w:b/>
          <w:bCs/>
          <w:spacing w:val="-6"/>
          <w:szCs w:val="22"/>
          <w:lang w:eastAsia="zh-CN"/>
        </w:rPr>
        <w:t>冯光海</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r>
        <w:rPr>
          <w:rFonts w:hint="eastAsia" w:ascii="仿宋_GB2312" w:eastAsia="仿宋_GB2312"/>
          <w:b/>
          <w:bCs/>
          <w:spacing w:val="-6"/>
          <w:szCs w:val="22"/>
          <w:lang w:val="en-US" w:eastAsia="zh-CN"/>
        </w:rPr>
        <w:t>为</w:t>
      </w:r>
      <w:r>
        <w:rPr>
          <w:rFonts w:hint="eastAsia" w:ascii="仿宋_GB2312" w:eastAsia="仿宋_GB2312"/>
          <w:b/>
          <w:bCs/>
          <w:spacing w:val="-6"/>
          <w:szCs w:val="22"/>
        </w:rPr>
        <w:t>￥141608元，人民币（大写）</w:t>
      </w:r>
      <w:r>
        <w:rPr>
          <w:rFonts w:hint="eastAsia" w:ascii="仿宋_GB2312" w:eastAsia="仿宋_GB2312"/>
          <w:b/>
          <w:bCs/>
          <w:spacing w:val="-6"/>
          <w:szCs w:val="22"/>
          <w:lang w:val="en-US" w:eastAsia="zh-CN"/>
        </w:rPr>
        <w:t>壹拾肆万壹仟陆佰零捌元</w:t>
      </w:r>
      <w:r>
        <w:rPr>
          <w:rFonts w:hint="eastAsia" w:ascii="仿宋_GB2312" w:eastAsia="仿宋_GB2312"/>
          <w:b/>
          <w:bCs/>
          <w:spacing w:val="-6"/>
          <w:szCs w:val="22"/>
        </w:rPr>
        <w:t>整</w:t>
      </w:r>
      <w:r>
        <w:rPr>
          <w:rFonts w:hint="eastAsia" w:ascii="仿宋_GB2312" w:eastAsia="仿宋_GB2312"/>
          <w:b/>
          <w:bCs/>
          <w:color w:val="000000"/>
          <w:spacing w:val="-6"/>
          <w:szCs w:val="22"/>
        </w:rPr>
        <w:t>。</w:t>
      </w:r>
    </w:p>
    <w:p w14:paraId="6B77D26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r>
        <w:rPr>
          <w:rFonts w:hint="eastAsia" w:ascii="仿宋_GB2312" w:eastAsia="仿宋_GB2312"/>
          <w:bCs/>
          <w:color w:val="000000"/>
          <w:spacing w:val="-6"/>
          <w:szCs w:val="22"/>
        </w:rPr>
        <w:t>(</w:t>
      </w:r>
      <w:r>
        <w:rPr>
          <w:rFonts w:hint="eastAsia" w:ascii="仿宋_GB2312" w:eastAsia="仿宋_GB2312"/>
          <w:bCs/>
          <w:color w:val="000000"/>
          <w:spacing w:val="-6"/>
          <w:szCs w:val="22"/>
          <w:lang w:val="en-US" w:eastAsia="zh-CN"/>
        </w:rPr>
        <w:t>备注：</w:t>
      </w: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10040A7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4406F23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5D2E2FB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662C4B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372AA9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color w:val="000000"/>
          <w:spacing w:val="-6"/>
          <w:szCs w:val="22"/>
        </w:rPr>
      </w:pPr>
    </w:p>
    <w:p w14:paraId="28672A54">
      <w:pPr>
        <w:spacing w:line="360" w:lineRule="auto"/>
        <w:ind w:firstLine="4020" w:firstLineChars="1500"/>
        <w:rPr>
          <w:rFonts w:ascii="仿宋_GB2312" w:eastAsia="仿宋_GB2312"/>
          <w:color w:val="000000"/>
          <w:spacing w:val="-6"/>
        </w:rPr>
      </w:pPr>
      <w:r>
        <w:rPr>
          <w:rFonts w:hint="eastAsia" w:ascii="仿宋_GB2312" w:eastAsia="仿宋_GB2312"/>
          <w:color w:val="000000"/>
          <w:spacing w:val="-6"/>
        </w:rPr>
        <w:t xml:space="preserve"> 山东中创土地房地产资产评估测绘有限公司 </w:t>
      </w:r>
    </w:p>
    <w:p w14:paraId="259E9309">
      <w:pPr>
        <w:spacing w:line="360" w:lineRule="auto"/>
        <w:ind w:firstLine="4288" w:firstLineChars="1600"/>
        <w:rPr>
          <w:rFonts w:hint="eastAsia" w:ascii="仿宋_GB2312" w:eastAsia="仿宋_GB2312"/>
          <w:color w:val="000000"/>
          <w:spacing w:val="-6"/>
        </w:rPr>
      </w:pPr>
      <w:r>
        <w:rPr>
          <w:rFonts w:hint="eastAsia" w:ascii="仿宋_GB2312" w:eastAsia="仿宋_GB2312"/>
          <w:color w:val="000000"/>
          <w:spacing w:val="-6"/>
        </w:rPr>
        <w:t>法定代表人签章</w:t>
      </w:r>
    </w:p>
    <w:p w14:paraId="4A1D0A98">
      <w:pPr>
        <w:spacing w:line="360" w:lineRule="auto"/>
        <w:rPr>
          <w:rFonts w:hint="eastAsia" w:ascii="仿宋_GB2312" w:eastAsia="仿宋_GB2312"/>
          <w:color w:val="000000"/>
          <w:spacing w:val="-6"/>
          <w:lang w:eastAsia="zh-CN"/>
        </w:rPr>
      </w:pPr>
      <w:r>
        <w:rPr>
          <w:rFonts w:hint="eastAsia" w:ascii="仿宋_GB2312" w:eastAsia="仿宋_GB2312"/>
          <w:color w:val="000000"/>
          <w:spacing w:val="-6"/>
        </w:rPr>
        <w:t xml:space="preserve">                                  　      </w:t>
      </w:r>
      <w:r>
        <w:rPr>
          <w:rFonts w:hint="eastAsia" w:ascii="仿宋_GB2312" w:eastAsia="仿宋_GB2312"/>
          <w:color w:val="000000"/>
          <w:spacing w:val="-6"/>
          <w:lang w:eastAsia="zh-CN"/>
        </w:rPr>
        <w:t>二○二四年十一月二十八日</w:t>
      </w:r>
    </w:p>
    <w:p w14:paraId="755C5B6D">
      <w:pPr>
        <w:spacing w:line="640" w:lineRule="exact"/>
        <w:rPr>
          <w:rFonts w:ascii="宋体" w:hAnsi="宋体"/>
          <w:b/>
          <w:color w:val="000000"/>
          <w:spacing w:val="4"/>
          <w:sz w:val="48"/>
        </w:rPr>
        <w:sectPr>
          <w:footerReference r:id="rId4" w:type="default"/>
          <w:pgSz w:w="11906" w:h="16838"/>
          <w:pgMar w:top="1440" w:right="1077" w:bottom="1718" w:left="1077" w:header="851" w:footer="992" w:gutter="0"/>
          <w:pgNumType w:start="1"/>
          <w:cols w:space="720" w:num="1"/>
          <w:docGrid w:type="lines" w:linePitch="381" w:charSpace="0"/>
        </w:sectPr>
      </w:pPr>
    </w:p>
    <w:p w14:paraId="4FD3B1B1">
      <w:pPr>
        <w:spacing w:line="640" w:lineRule="exact"/>
        <w:jc w:val="center"/>
        <w:rPr>
          <w:rFonts w:ascii="宋体" w:hAnsi="宋体"/>
          <w:b/>
          <w:color w:val="000000"/>
          <w:spacing w:val="4"/>
          <w:sz w:val="48"/>
        </w:rPr>
      </w:pPr>
      <w:r>
        <w:rPr>
          <w:rFonts w:ascii="宋体" w:hAnsi="宋体"/>
          <w:b/>
          <w:color w:val="000000"/>
          <w:spacing w:val="4"/>
          <w:sz w:val="48"/>
        </w:rPr>
        <w:t>目</w:t>
      </w:r>
      <w:r>
        <w:rPr>
          <w:rFonts w:hint="eastAsia" w:ascii="宋体" w:hAnsi="宋体"/>
          <w:b/>
          <w:color w:val="000000"/>
          <w:spacing w:val="4"/>
          <w:sz w:val="48"/>
        </w:rPr>
        <w:t xml:space="preserve">     </w:t>
      </w:r>
      <w:r>
        <w:rPr>
          <w:rFonts w:ascii="宋体" w:hAnsi="宋体"/>
          <w:b/>
          <w:color w:val="000000"/>
          <w:spacing w:val="4"/>
          <w:sz w:val="48"/>
        </w:rPr>
        <w:t>录</w:t>
      </w:r>
    </w:p>
    <w:p w14:paraId="76065947">
      <w:pPr>
        <w:pStyle w:val="8"/>
        <w:spacing w:line="640" w:lineRule="exact"/>
        <w:rPr>
          <w:rFonts w:ascii="Calibri" w:hAnsi="Calibri"/>
          <w:b w:val="0"/>
          <w:bCs w:val="0"/>
          <w:color w:val="000000"/>
          <w:spacing w:val="4"/>
          <w:sz w:val="21"/>
          <w:szCs w:val="22"/>
        </w:rPr>
      </w:pPr>
      <w:r>
        <w:rPr>
          <w:b w:val="0"/>
          <w:bCs w:val="0"/>
          <w:color w:val="000000"/>
          <w:spacing w:val="4"/>
        </w:rPr>
        <w:fldChar w:fldCharType="begin"/>
      </w:r>
      <w:r>
        <w:rPr>
          <w:rStyle w:val="14"/>
          <w:b w:val="0"/>
          <w:bCs w:val="0"/>
          <w:color w:val="000000"/>
          <w:spacing w:val="4"/>
        </w:rPr>
        <w:instrText xml:space="preserve"> </w:instrText>
      </w:r>
      <w:r>
        <w:rPr>
          <w:rStyle w:val="14"/>
          <w:rFonts w:hint="eastAsia"/>
          <w:b w:val="0"/>
          <w:bCs w:val="0"/>
          <w:color w:val="000000"/>
          <w:spacing w:val="4"/>
        </w:rPr>
        <w:instrText xml:space="preserve">TOC \o "1-3" \h \z \u</w:instrText>
      </w:r>
      <w:r>
        <w:rPr>
          <w:rStyle w:val="14"/>
          <w:b w:val="0"/>
          <w:bCs w:val="0"/>
          <w:color w:val="000000"/>
          <w:spacing w:val="4"/>
        </w:rPr>
        <w:instrText xml:space="preserve"> </w:instrText>
      </w:r>
      <w:r>
        <w:rPr>
          <w:b w:val="0"/>
          <w:bCs w:val="0"/>
          <w:color w:val="000000"/>
          <w:spacing w:val="4"/>
        </w:rPr>
        <w:fldChar w:fldCharType="separate"/>
      </w:r>
      <w:r>
        <w:fldChar w:fldCharType="begin"/>
      </w:r>
      <w:r>
        <w:instrText xml:space="preserve"> HYPERLINK \l "_Toc258852697" </w:instrText>
      </w:r>
      <w:r>
        <w:fldChar w:fldCharType="separate"/>
      </w:r>
      <w:r>
        <w:rPr>
          <w:rStyle w:val="14"/>
          <w:rFonts w:hint="eastAsia"/>
          <w:color w:val="000000"/>
          <w:spacing w:val="4"/>
        </w:rPr>
        <w:t>注册评估师声明</w:t>
      </w:r>
      <w:r>
        <w:rPr>
          <w:color w:val="000000"/>
          <w:spacing w:val="4"/>
        </w:rPr>
        <w:tab/>
      </w:r>
      <w:r>
        <w:rPr>
          <w:color w:val="000000"/>
          <w:spacing w:val="4"/>
        </w:rPr>
        <w:fldChar w:fldCharType="end"/>
      </w:r>
      <w:r>
        <w:rPr>
          <w:rFonts w:hint="eastAsia"/>
          <w:color w:val="000000"/>
          <w:spacing w:val="4"/>
        </w:rPr>
        <w:t>1</w:t>
      </w:r>
    </w:p>
    <w:p w14:paraId="7B3F31F5">
      <w:pPr>
        <w:pStyle w:val="8"/>
        <w:spacing w:line="640" w:lineRule="exact"/>
        <w:rPr>
          <w:rFonts w:ascii="Calibri" w:hAnsi="Calibri"/>
          <w:b w:val="0"/>
          <w:bCs w:val="0"/>
          <w:color w:val="000000"/>
          <w:spacing w:val="4"/>
          <w:sz w:val="21"/>
          <w:szCs w:val="22"/>
        </w:rPr>
      </w:pPr>
      <w:r>
        <w:fldChar w:fldCharType="begin"/>
      </w:r>
      <w:r>
        <w:instrText xml:space="preserve"> HYPERLINK \l "_Toc258852698" </w:instrText>
      </w:r>
      <w:r>
        <w:fldChar w:fldCharType="separate"/>
      </w:r>
      <w:r>
        <w:rPr>
          <w:rStyle w:val="14"/>
          <w:rFonts w:hint="eastAsia"/>
          <w:color w:val="000000"/>
          <w:spacing w:val="4"/>
        </w:rPr>
        <w:t>估价的假设和限制条件</w:t>
      </w:r>
      <w:r>
        <w:rPr>
          <w:color w:val="000000"/>
          <w:spacing w:val="4"/>
        </w:rPr>
        <w:tab/>
      </w:r>
      <w:r>
        <w:rPr>
          <w:color w:val="000000"/>
          <w:spacing w:val="4"/>
        </w:rPr>
        <w:fldChar w:fldCharType="end"/>
      </w:r>
      <w:r>
        <w:rPr>
          <w:rFonts w:hint="eastAsia"/>
          <w:color w:val="000000"/>
          <w:spacing w:val="4"/>
        </w:rPr>
        <w:t>2</w:t>
      </w:r>
    </w:p>
    <w:p w14:paraId="637F92FE">
      <w:pPr>
        <w:pStyle w:val="8"/>
        <w:spacing w:line="640" w:lineRule="exact"/>
        <w:rPr>
          <w:rFonts w:ascii="Calibri" w:hAnsi="Calibri"/>
          <w:b w:val="0"/>
          <w:bCs w:val="0"/>
          <w:color w:val="000000"/>
          <w:spacing w:val="4"/>
          <w:sz w:val="21"/>
          <w:szCs w:val="22"/>
        </w:rPr>
      </w:pPr>
      <w:r>
        <w:fldChar w:fldCharType="begin"/>
      </w:r>
      <w:r>
        <w:instrText xml:space="preserve"> HYPERLINK \l "_一、委托方及产权持有者" </w:instrText>
      </w:r>
      <w:r>
        <w:fldChar w:fldCharType="separate"/>
      </w:r>
      <w:r>
        <w:rPr>
          <w:rStyle w:val="14"/>
          <w:rFonts w:hint="eastAsia" w:cs="黑体"/>
          <w:color w:val="000000"/>
          <w:spacing w:val="4"/>
        </w:rPr>
        <w:t>房地产估价结果报告</w:t>
      </w:r>
      <w:r>
        <w:rPr>
          <w:color w:val="000000"/>
          <w:spacing w:val="4"/>
        </w:rPr>
        <w:tab/>
      </w:r>
      <w:r>
        <w:rPr>
          <w:color w:val="000000"/>
          <w:spacing w:val="4"/>
        </w:rPr>
        <w:fldChar w:fldCharType="end"/>
      </w:r>
      <w:r>
        <w:rPr>
          <w:rFonts w:hint="eastAsia"/>
          <w:color w:val="000000"/>
          <w:spacing w:val="4"/>
        </w:rPr>
        <w:t>4</w:t>
      </w:r>
    </w:p>
    <w:p w14:paraId="2370689D">
      <w:pPr>
        <w:pStyle w:val="9"/>
        <w:spacing w:line="640" w:lineRule="exact"/>
        <w:ind w:left="560"/>
        <w:rPr>
          <w:rStyle w:val="14"/>
          <w:color w:val="000000"/>
          <w:spacing w:val="4"/>
        </w:rPr>
      </w:pPr>
      <w:r>
        <w:fldChar w:fldCharType="begin"/>
      </w:r>
      <w:r>
        <w:instrText xml:space="preserve"> HYPERLINK \l "_Toc258852700" </w:instrText>
      </w:r>
      <w:r>
        <w:fldChar w:fldCharType="separate"/>
      </w:r>
      <w:r>
        <w:rPr>
          <w:rStyle w:val="14"/>
          <w:rFonts w:hint="eastAsia" w:cs="黑体"/>
          <w:color w:val="000000"/>
          <w:spacing w:val="4"/>
        </w:rPr>
        <w:t>一、</w:t>
      </w:r>
      <w:r>
        <w:rPr>
          <w:rStyle w:val="14"/>
          <w:rFonts w:hint="eastAsia" w:ascii="黑体" w:hAnsi="宋体"/>
          <w:color w:val="000000"/>
          <w:spacing w:val="4"/>
        </w:rPr>
        <w:t>委托</w:t>
      </w:r>
      <w:bookmarkStart w:id="1" w:name="_Hlt24976165"/>
      <w:bookmarkEnd w:id="1"/>
      <w:r>
        <w:rPr>
          <w:rStyle w:val="14"/>
          <w:rFonts w:hint="eastAsia" w:ascii="黑体" w:hAnsi="宋体"/>
          <w:color w:val="000000"/>
          <w:spacing w:val="4"/>
        </w:rPr>
        <w:t>人</w:t>
      </w:r>
      <w:r>
        <w:rPr>
          <w:color w:val="000000"/>
          <w:spacing w:val="4"/>
        </w:rPr>
        <w:tab/>
      </w:r>
      <w:r>
        <w:rPr>
          <w:color w:val="000000"/>
          <w:spacing w:val="4"/>
        </w:rPr>
        <w:fldChar w:fldCharType="end"/>
      </w:r>
      <w:r>
        <w:rPr>
          <w:rFonts w:hint="eastAsia"/>
          <w:color w:val="000000"/>
          <w:spacing w:val="4"/>
        </w:rPr>
        <w:t>4</w:t>
      </w:r>
    </w:p>
    <w:p w14:paraId="6829C134">
      <w:pPr>
        <w:pStyle w:val="9"/>
        <w:spacing w:line="640" w:lineRule="exact"/>
        <w:ind w:left="560"/>
        <w:rPr>
          <w:rStyle w:val="14"/>
          <w:color w:val="000000"/>
          <w:spacing w:val="4"/>
        </w:rPr>
      </w:pPr>
      <w:r>
        <w:fldChar w:fldCharType="begin"/>
      </w:r>
      <w:r>
        <w:instrText xml:space="preserve"> HYPERLINK \l "_Toc258852700" </w:instrText>
      </w:r>
      <w:r>
        <w:fldChar w:fldCharType="separate"/>
      </w:r>
      <w:r>
        <w:rPr>
          <w:rStyle w:val="14"/>
          <w:rFonts w:hint="eastAsia" w:cs="黑体"/>
          <w:color w:val="000000"/>
          <w:spacing w:val="4"/>
        </w:rPr>
        <w:t>二、</w:t>
      </w:r>
      <w:r>
        <w:rPr>
          <w:rStyle w:val="14"/>
          <w:rFonts w:hint="eastAsia" w:ascii="黑体" w:hAnsi="宋体"/>
          <w:color w:val="000000"/>
          <w:spacing w:val="4"/>
        </w:rPr>
        <w:t>估价方</w:t>
      </w:r>
      <w:r>
        <w:rPr>
          <w:color w:val="000000"/>
          <w:spacing w:val="4"/>
        </w:rPr>
        <w:tab/>
      </w:r>
      <w:r>
        <w:rPr>
          <w:color w:val="000000"/>
          <w:spacing w:val="4"/>
        </w:rPr>
        <w:fldChar w:fldCharType="end"/>
      </w:r>
      <w:r>
        <w:rPr>
          <w:rFonts w:hint="eastAsia"/>
          <w:color w:val="000000"/>
          <w:spacing w:val="4"/>
        </w:rPr>
        <w:t>4</w:t>
      </w:r>
    </w:p>
    <w:p w14:paraId="7CF7917A">
      <w:pPr>
        <w:pStyle w:val="9"/>
        <w:spacing w:line="640" w:lineRule="exact"/>
        <w:ind w:left="560"/>
        <w:rPr>
          <w:color w:val="000000"/>
          <w:spacing w:val="4"/>
          <w:u w:val="single"/>
        </w:rPr>
      </w:pPr>
      <w:r>
        <w:fldChar w:fldCharType="begin"/>
      </w:r>
      <w:r>
        <w:instrText xml:space="preserve"> HYPERLINK \l "_Toc258852700" </w:instrText>
      </w:r>
      <w:r>
        <w:fldChar w:fldCharType="separate"/>
      </w:r>
      <w:r>
        <w:rPr>
          <w:rStyle w:val="14"/>
          <w:rFonts w:hint="eastAsia" w:cs="黑体"/>
          <w:color w:val="000000"/>
          <w:spacing w:val="4"/>
        </w:rPr>
        <w:t>三、</w:t>
      </w:r>
      <w:r>
        <w:rPr>
          <w:rStyle w:val="14"/>
          <w:rFonts w:hint="eastAsia" w:ascii="黑体" w:hAnsi="宋体"/>
          <w:color w:val="000000"/>
          <w:spacing w:val="4"/>
        </w:rPr>
        <w:t>估价对象概况</w:t>
      </w:r>
      <w:r>
        <w:rPr>
          <w:color w:val="000000"/>
        </w:rPr>
        <w:tab/>
      </w:r>
      <w:r>
        <w:rPr>
          <w:color w:val="000000"/>
        </w:rPr>
        <w:fldChar w:fldCharType="end"/>
      </w:r>
      <w:r>
        <w:rPr>
          <w:rFonts w:hint="eastAsia"/>
          <w:color w:val="000000"/>
          <w:spacing w:val="4"/>
        </w:rPr>
        <w:t>4</w:t>
      </w:r>
    </w:p>
    <w:p w14:paraId="7CF130C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"_Toc258852701" </w:instrText>
      </w:r>
      <w:r>
        <w:fldChar w:fldCharType="separate"/>
      </w:r>
      <w:r>
        <w:rPr>
          <w:rStyle w:val="14"/>
          <w:rFonts w:hint="eastAsia" w:ascii="黑体" w:hAnsi="宋体"/>
          <w:color w:val="000000"/>
          <w:spacing w:val="4"/>
        </w:rPr>
        <w:t>四、估价目的</w:t>
      </w:r>
      <w:r>
        <w:rPr>
          <w:color w:val="000000"/>
          <w:spacing w:val="4"/>
        </w:rPr>
        <w:tab/>
      </w:r>
      <w:r>
        <w:rPr>
          <w:color w:val="000000"/>
          <w:spacing w:val="4"/>
        </w:rPr>
        <w:fldChar w:fldCharType="end"/>
      </w:r>
      <w:r>
        <w:rPr>
          <w:rFonts w:hint="eastAsia"/>
          <w:color w:val="000000"/>
          <w:spacing w:val="4"/>
          <w:lang w:val="en-US" w:eastAsia="zh-CN"/>
        </w:rPr>
        <w:t>6</w:t>
      </w:r>
    </w:p>
    <w:p w14:paraId="4F765D0E">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"_Toc258852702" </w:instrText>
      </w:r>
      <w:r>
        <w:fldChar w:fldCharType="separate"/>
      </w:r>
      <w:r>
        <w:rPr>
          <w:rStyle w:val="14"/>
          <w:rFonts w:hint="eastAsia" w:ascii="黑体" w:hAnsi="宋体"/>
          <w:color w:val="000000"/>
          <w:spacing w:val="4"/>
        </w:rPr>
        <w:t>五、价值时点</w:t>
      </w:r>
      <w:r>
        <w:rPr>
          <w:color w:val="000000"/>
          <w:spacing w:val="4"/>
        </w:rPr>
        <w:tab/>
      </w:r>
      <w:r>
        <w:rPr>
          <w:color w:val="000000"/>
          <w:spacing w:val="4"/>
        </w:rPr>
        <w:fldChar w:fldCharType="end"/>
      </w:r>
      <w:r>
        <w:rPr>
          <w:rFonts w:hint="eastAsia"/>
          <w:color w:val="000000"/>
          <w:spacing w:val="4"/>
          <w:lang w:val="en-US" w:eastAsia="zh-CN"/>
        </w:rPr>
        <w:t>6</w:t>
      </w:r>
    </w:p>
    <w:p w14:paraId="48D21393">
      <w:pPr>
        <w:pStyle w:val="9"/>
        <w:spacing w:line="640" w:lineRule="exact"/>
        <w:ind w:left="560"/>
        <w:rPr>
          <w:rFonts w:hint="eastAsia" w:eastAsia="宋体"/>
          <w:color w:val="000000"/>
          <w:spacing w:val="4"/>
          <w:u w:val="single"/>
          <w:lang w:eastAsia="zh-CN"/>
        </w:rPr>
      </w:pPr>
      <w:r>
        <w:fldChar w:fldCharType="begin"/>
      </w:r>
      <w:r>
        <w:instrText xml:space="preserve"> HYPERLINK \l "_Toc258852703" </w:instrText>
      </w:r>
      <w:r>
        <w:fldChar w:fldCharType="separate"/>
      </w:r>
      <w:r>
        <w:rPr>
          <w:rStyle w:val="14"/>
          <w:rFonts w:hint="eastAsia" w:ascii="黑体" w:hAnsi="宋体"/>
          <w:color w:val="000000"/>
          <w:spacing w:val="4"/>
        </w:rPr>
        <w:t>六、价值类型及定义</w:t>
      </w:r>
      <w:r>
        <w:rPr>
          <w:color w:val="000000"/>
          <w:spacing w:val="4"/>
        </w:rPr>
        <w:tab/>
      </w:r>
      <w:r>
        <w:rPr>
          <w:color w:val="000000"/>
          <w:spacing w:val="4"/>
        </w:rPr>
        <w:fldChar w:fldCharType="end"/>
      </w:r>
      <w:r>
        <w:rPr>
          <w:rFonts w:hint="eastAsia"/>
          <w:color w:val="000000"/>
          <w:spacing w:val="4"/>
          <w:lang w:val="en-US" w:eastAsia="zh-CN"/>
        </w:rPr>
        <w:t>6</w:t>
      </w:r>
    </w:p>
    <w:p w14:paraId="37026559">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"_Toc258852704" </w:instrText>
      </w:r>
      <w:r>
        <w:fldChar w:fldCharType="separate"/>
      </w:r>
      <w:r>
        <w:rPr>
          <w:rStyle w:val="14"/>
          <w:rFonts w:hint="eastAsia" w:cs="黑体"/>
          <w:color w:val="000000"/>
          <w:spacing w:val="4"/>
        </w:rPr>
        <w:t>七、估价依据</w:t>
      </w:r>
      <w:r>
        <w:rPr>
          <w:color w:val="000000"/>
          <w:spacing w:val="4"/>
        </w:rPr>
        <w:tab/>
      </w:r>
      <w:r>
        <w:rPr>
          <w:color w:val="000000"/>
          <w:spacing w:val="4"/>
        </w:rPr>
        <w:fldChar w:fldCharType="end"/>
      </w:r>
      <w:r>
        <w:rPr>
          <w:rFonts w:hint="eastAsia"/>
          <w:color w:val="000000"/>
          <w:spacing w:val="4"/>
          <w:lang w:val="en-US" w:eastAsia="zh-CN"/>
        </w:rPr>
        <w:t>6</w:t>
      </w:r>
    </w:p>
    <w:p w14:paraId="3C2818C2">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"_Toc258852705" </w:instrText>
      </w:r>
      <w:r>
        <w:fldChar w:fldCharType="separate"/>
      </w:r>
      <w:r>
        <w:rPr>
          <w:rStyle w:val="14"/>
          <w:rFonts w:hint="eastAsia" w:cs="黑体"/>
          <w:color w:val="000000"/>
          <w:spacing w:val="4"/>
        </w:rPr>
        <w:t>八、估价原则</w:t>
      </w:r>
      <w:r>
        <w:rPr>
          <w:color w:val="000000"/>
          <w:spacing w:val="4"/>
        </w:rPr>
        <w:tab/>
      </w:r>
      <w:r>
        <w:rPr>
          <w:color w:val="000000"/>
          <w:spacing w:val="4"/>
        </w:rPr>
        <w:fldChar w:fldCharType="end"/>
      </w:r>
      <w:r>
        <w:rPr>
          <w:rFonts w:hint="eastAsia"/>
          <w:color w:val="000000"/>
          <w:spacing w:val="4"/>
          <w:lang w:val="en-US" w:eastAsia="zh-CN"/>
        </w:rPr>
        <w:t>7</w:t>
      </w:r>
    </w:p>
    <w:p w14:paraId="4F7FDB28">
      <w:pPr>
        <w:pStyle w:val="9"/>
        <w:spacing w:line="640" w:lineRule="exact"/>
        <w:ind w:left="560"/>
        <w:rPr>
          <w:rFonts w:hint="eastAsia" w:ascii="Calibri" w:hAnsi="Calibri" w:eastAsia="宋体"/>
          <w:color w:val="000000"/>
          <w:spacing w:val="4"/>
          <w:kern w:val="2"/>
          <w:sz w:val="21"/>
          <w:szCs w:val="22"/>
          <w:lang w:eastAsia="zh-CN"/>
        </w:rPr>
      </w:pPr>
      <w:r>
        <w:fldChar w:fldCharType="begin"/>
      </w:r>
      <w:r>
        <w:instrText xml:space="preserve"> HYPERLINK \l "_Toc258852706" </w:instrText>
      </w:r>
      <w:r>
        <w:fldChar w:fldCharType="separate"/>
      </w:r>
      <w:r>
        <w:rPr>
          <w:rStyle w:val="14"/>
          <w:rFonts w:hint="eastAsia" w:cs="黑体"/>
          <w:color w:val="000000"/>
          <w:spacing w:val="4"/>
        </w:rPr>
        <w:t>九、估价方法</w:t>
      </w:r>
      <w:r>
        <w:rPr>
          <w:color w:val="000000"/>
          <w:spacing w:val="4"/>
        </w:rPr>
        <w:tab/>
      </w:r>
      <w:r>
        <w:rPr>
          <w:color w:val="000000"/>
          <w:spacing w:val="4"/>
        </w:rPr>
        <w:fldChar w:fldCharType="end"/>
      </w:r>
      <w:r>
        <w:rPr>
          <w:rFonts w:hint="eastAsia"/>
          <w:color w:val="000000"/>
          <w:spacing w:val="4"/>
          <w:lang w:val="en-US" w:eastAsia="zh-CN"/>
        </w:rPr>
        <w:t>8</w:t>
      </w:r>
    </w:p>
    <w:p w14:paraId="43FA9C70">
      <w:pPr>
        <w:pStyle w:val="9"/>
        <w:spacing w:line="640" w:lineRule="exact"/>
        <w:ind w:left="560"/>
        <w:rPr>
          <w:rStyle w:val="14"/>
          <w:rFonts w:hint="eastAsia" w:ascii="Calibri" w:hAnsi="Calibri" w:eastAsia="宋体"/>
          <w:color w:val="000000"/>
          <w:spacing w:val="4"/>
          <w:kern w:val="2"/>
          <w:sz w:val="21"/>
          <w:szCs w:val="22"/>
          <w:u w:val="none"/>
          <w:lang w:eastAsia="zh-CN"/>
        </w:rPr>
      </w:pPr>
      <w:r>
        <w:fldChar w:fldCharType="begin"/>
      </w:r>
      <w:r>
        <w:instrText xml:space="preserve"> HYPERLINK \l "_Toc258852707" </w:instrText>
      </w:r>
      <w:r>
        <w:fldChar w:fldCharType="separate"/>
      </w:r>
      <w:r>
        <w:rPr>
          <w:rStyle w:val="14"/>
          <w:rFonts w:hint="eastAsia" w:ascii="黑体" w:hAnsi="宋体"/>
          <w:color w:val="000000"/>
          <w:spacing w:val="4"/>
        </w:rPr>
        <w:t>十、估价结果</w:t>
      </w:r>
      <w:r>
        <w:rPr>
          <w:color w:val="000000"/>
          <w:spacing w:val="4"/>
        </w:rPr>
        <w:tab/>
      </w:r>
      <w:r>
        <w:rPr>
          <w:color w:val="000000"/>
          <w:spacing w:val="4"/>
        </w:rPr>
        <w:fldChar w:fldCharType="end"/>
      </w:r>
      <w:r>
        <w:rPr>
          <w:rFonts w:hint="eastAsia"/>
          <w:color w:val="000000"/>
          <w:spacing w:val="4"/>
          <w:lang w:val="en-US" w:eastAsia="zh-CN"/>
        </w:rPr>
        <w:t>9</w:t>
      </w:r>
    </w:p>
    <w:p w14:paraId="0676B480">
      <w:pPr>
        <w:pStyle w:val="9"/>
        <w:spacing w:line="640" w:lineRule="exact"/>
        <w:ind w:left="560"/>
        <w:rPr>
          <w:rFonts w:hint="eastAsia" w:ascii="Calibri" w:hAnsi="Calibri" w:eastAsia="宋体"/>
          <w:color w:val="000000"/>
          <w:spacing w:val="4"/>
          <w:kern w:val="2"/>
          <w:sz w:val="21"/>
          <w:szCs w:val="22"/>
          <w:u w:val="single"/>
          <w:lang w:eastAsia="zh-CN"/>
        </w:rPr>
      </w:pPr>
      <w:r>
        <w:fldChar w:fldCharType="begin"/>
      </w:r>
      <w:r>
        <w:instrText xml:space="preserve"> HYPERLINK \l "_Toc258852708" </w:instrText>
      </w:r>
      <w:r>
        <w:fldChar w:fldCharType="separate"/>
      </w:r>
      <w:r>
        <w:rPr>
          <w:rStyle w:val="14"/>
          <w:rFonts w:hint="eastAsia" w:ascii="黑体" w:hAnsi="宋体"/>
          <w:color w:val="000000"/>
          <w:spacing w:val="4"/>
        </w:rPr>
        <w:t>十</w:t>
      </w:r>
      <w:r>
        <w:rPr>
          <w:rStyle w:val="14"/>
          <w:rFonts w:hint="eastAsia" w:ascii="黑体" w:hAnsi="宋体"/>
          <w:color w:val="000000"/>
          <w:spacing w:val="4"/>
          <w:lang w:val="en-US" w:eastAsia="zh-CN"/>
        </w:rPr>
        <w:t>一</w:t>
      </w:r>
      <w:r>
        <w:rPr>
          <w:rStyle w:val="14"/>
          <w:rFonts w:hint="eastAsia" w:ascii="黑体" w:hAnsi="宋体"/>
          <w:color w:val="000000"/>
          <w:spacing w:val="4"/>
        </w:rPr>
        <w:t>、估价作业日期</w:t>
      </w:r>
      <w:r>
        <w:rPr>
          <w:color w:val="000000"/>
          <w:spacing w:val="4"/>
        </w:rPr>
        <w:tab/>
      </w:r>
      <w:r>
        <w:rPr>
          <w:color w:val="000000"/>
          <w:spacing w:val="4"/>
        </w:rPr>
        <w:fldChar w:fldCharType="end"/>
      </w:r>
      <w:r>
        <w:rPr>
          <w:rFonts w:hint="eastAsia"/>
          <w:color w:val="000000"/>
          <w:spacing w:val="4"/>
          <w:lang w:val="en-US" w:eastAsia="zh-CN"/>
        </w:rPr>
        <w:t>9</w:t>
      </w:r>
    </w:p>
    <w:p w14:paraId="71EED6B9">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"_Toc258852709" </w:instrText>
      </w:r>
      <w:r>
        <w:fldChar w:fldCharType="separate"/>
      </w:r>
      <w:r>
        <w:rPr>
          <w:rStyle w:val="14"/>
          <w:rFonts w:hint="eastAsia" w:cs="黑体"/>
          <w:color w:val="000000"/>
          <w:spacing w:val="4"/>
        </w:rPr>
        <w:t>十</w:t>
      </w:r>
      <w:r>
        <w:rPr>
          <w:rStyle w:val="14"/>
          <w:rFonts w:hint="eastAsia" w:cs="黑体"/>
          <w:color w:val="000000"/>
          <w:spacing w:val="4"/>
          <w:lang w:val="en-US" w:eastAsia="zh-CN"/>
        </w:rPr>
        <w:t>二</w:t>
      </w:r>
      <w:r>
        <w:rPr>
          <w:rStyle w:val="14"/>
          <w:rFonts w:hint="eastAsia" w:cs="黑体"/>
          <w:color w:val="000000"/>
          <w:spacing w:val="4"/>
        </w:rPr>
        <w:t>、估价报告的重要说明</w:t>
      </w:r>
      <w:r>
        <w:rPr>
          <w:color w:val="000000"/>
          <w:spacing w:val="4"/>
        </w:rPr>
        <w:tab/>
      </w:r>
      <w:r>
        <w:rPr>
          <w:color w:val="000000"/>
          <w:spacing w:val="4"/>
        </w:rPr>
        <w:fldChar w:fldCharType="end"/>
      </w:r>
      <w:r>
        <w:rPr>
          <w:rFonts w:hint="eastAsia"/>
          <w:color w:val="000000"/>
          <w:spacing w:val="4"/>
          <w:lang w:val="en-US" w:eastAsia="zh-CN"/>
        </w:rPr>
        <w:t>9</w:t>
      </w:r>
    </w:p>
    <w:p w14:paraId="7A08D93D">
      <w:pPr>
        <w:pStyle w:val="9"/>
        <w:spacing w:line="640" w:lineRule="exact"/>
        <w:ind w:left="56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4"/>
          <w:rFonts w:hint="eastAsia" w:cs="黑体"/>
          <w:color w:val="000000"/>
          <w:spacing w:val="4"/>
        </w:rPr>
        <w:t>十</w:t>
      </w:r>
      <w:r>
        <w:rPr>
          <w:rStyle w:val="14"/>
          <w:rFonts w:hint="eastAsia" w:cs="黑体"/>
          <w:color w:val="000000"/>
          <w:spacing w:val="4"/>
          <w:lang w:val="en-US" w:eastAsia="zh-CN"/>
        </w:rPr>
        <w:t>三</w:t>
      </w:r>
      <w:r>
        <w:rPr>
          <w:rStyle w:val="14"/>
          <w:rFonts w:hint="eastAsia" w:cs="黑体"/>
          <w:color w:val="000000"/>
          <w:spacing w:val="4"/>
        </w:rPr>
        <w:t>、估价人员</w:t>
      </w:r>
      <w:r>
        <w:rPr>
          <w:color w:val="000000"/>
          <w:spacing w:val="4"/>
        </w:rPr>
        <w:tab/>
      </w:r>
      <w:r>
        <w:rPr>
          <w:color w:val="000000"/>
          <w:spacing w:val="4"/>
        </w:rPr>
        <w:fldChar w:fldCharType="end"/>
      </w:r>
      <w:r>
        <w:rPr>
          <w:rFonts w:hint="eastAsia"/>
          <w:color w:val="000000"/>
          <w:spacing w:val="4"/>
          <w:lang w:val="en-US" w:eastAsia="zh-CN"/>
        </w:rPr>
        <w:t>10</w:t>
      </w:r>
    </w:p>
    <w:p w14:paraId="436CB67C">
      <w:pPr>
        <w:pStyle w:val="9"/>
        <w:spacing w:line="640" w:lineRule="exact"/>
        <w:ind w:left="0" w:leftChars="0"/>
        <w:rPr>
          <w:rFonts w:hint="default" w:ascii="Calibri" w:hAnsi="Calibri" w:eastAsia="宋体"/>
          <w:color w:val="000000"/>
          <w:spacing w:val="4"/>
          <w:kern w:val="2"/>
          <w:sz w:val="21"/>
          <w:szCs w:val="22"/>
          <w:lang w:val="en-US" w:eastAsia="zh-CN"/>
        </w:rPr>
      </w:pPr>
      <w:r>
        <w:fldChar w:fldCharType="begin"/>
      </w:r>
      <w:r>
        <w:instrText xml:space="preserve"> HYPERLINK \l "_Toc258852710" </w:instrText>
      </w:r>
      <w:r>
        <w:fldChar w:fldCharType="separate"/>
      </w:r>
      <w:r>
        <w:rPr>
          <w:rStyle w:val="14"/>
          <w:rFonts w:hint="eastAsia" w:cs="黑体"/>
          <w:b/>
          <w:color w:val="000000"/>
          <w:spacing w:val="4"/>
        </w:rPr>
        <w:t>附件目录</w:t>
      </w:r>
      <w:r>
        <w:rPr>
          <w:b/>
          <w:color w:val="000000"/>
          <w:spacing w:val="4"/>
        </w:rPr>
        <w:tab/>
      </w:r>
      <w:r>
        <w:rPr>
          <w:b/>
          <w:color w:val="000000"/>
          <w:spacing w:val="4"/>
        </w:rPr>
        <w:fldChar w:fldCharType="end"/>
      </w:r>
      <w:r>
        <w:rPr>
          <w:rFonts w:hint="eastAsia"/>
          <w:b/>
          <w:color w:val="000000"/>
          <w:spacing w:val="4"/>
          <w:lang w:val="en-US" w:eastAsia="zh-CN"/>
        </w:rPr>
        <w:t>11</w:t>
      </w:r>
    </w:p>
    <w:p w14:paraId="2F8E8659">
      <w:pPr>
        <w:pStyle w:val="8"/>
        <w:spacing w:line="640" w:lineRule="exact"/>
        <w:rPr>
          <w:rFonts w:ascii="Calibri" w:hAnsi="Calibri" w:eastAsia="宋体"/>
          <w:bCs w:val="0"/>
          <w:color w:val="000000"/>
          <w:spacing w:val="4"/>
          <w:sz w:val="21"/>
          <w:szCs w:val="22"/>
        </w:rPr>
        <w:sectPr>
          <w:footerReference r:id="rId5" w:type="default"/>
          <w:pgSz w:w="11906" w:h="16838"/>
          <w:pgMar w:top="1440" w:right="1077" w:bottom="1718" w:left="1077" w:header="851" w:footer="992" w:gutter="0"/>
          <w:pgNumType w:start="1"/>
          <w:cols w:space="720" w:num="1"/>
          <w:docGrid w:type="lines" w:linePitch="381" w:charSpace="0"/>
        </w:sectPr>
      </w:pPr>
    </w:p>
    <w:p w14:paraId="7676C4BD">
      <w:pPr>
        <w:spacing w:line="360" w:lineRule="auto"/>
        <w:jc w:val="center"/>
        <w:rPr>
          <w:rFonts w:ascii="宋体" w:hAnsi="宋体"/>
          <w:b/>
          <w:color w:val="000000"/>
          <w:sz w:val="44"/>
          <w:szCs w:val="44"/>
        </w:rPr>
      </w:pPr>
      <w:r>
        <w:rPr>
          <w:rFonts w:ascii="黑体" w:hAnsi="宋体" w:eastAsia="黑体"/>
          <w:bCs/>
          <w:color w:val="000000"/>
          <w:spacing w:val="4"/>
          <w:szCs w:val="24"/>
        </w:rPr>
        <w:fldChar w:fldCharType="end"/>
      </w:r>
      <w:r>
        <w:rPr>
          <w:rFonts w:hint="eastAsia" w:ascii="宋体" w:hAnsi="宋体"/>
          <w:b/>
          <w:color w:val="000000"/>
          <w:sz w:val="44"/>
          <w:szCs w:val="44"/>
        </w:rPr>
        <w:t>注册估价师声明</w:t>
      </w:r>
    </w:p>
    <w:p w14:paraId="1CA2C7C2">
      <w:pPr>
        <w:keepNext w:val="0"/>
        <w:keepLines w:val="0"/>
        <w:pageBreakBefore w:val="0"/>
        <w:widowControl w:val="0"/>
        <w:kinsoku/>
        <w:wordWrap/>
        <w:overflowPunct/>
        <w:topLinePunct w:val="0"/>
        <w:autoSpaceDE/>
        <w:autoSpaceDN/>
        <w:bidi w:val="0"/>
        <w:adjustRightInd/>
        <w:snapToGrid/>
        <w:spacing w:before="190" w:beforeLines="50" w:line="440" w:lineRule="exact"/>
        <w:ind w:right="-333" w:rightChars="-119" w:firstLine="140" w:firstLineChars="50"/>
        <w:textAlignment w:val="auto"/>
        <w:rPr>
          <w:rFonts w:ascii="仿宋_GB2312" w:eastAsia="仿宋_GB2312"/>
          <w:color w:val="000000"/>
        </w:rPr>
      </w:pPr>
      <w:r>
        <w:rPr>
          <w:rFonts w:hint="eastAsia" w:ascii="仿宋_GB2312" w:eastAsia="仿宋_GB2312"/>
          <w:color w:val="000000"/>
        </w:rPr>
        <w:t>对本报告我们特作如下郑重声明：</w:t>
      </w:r>
    </w:p>
    <w:p w14:paraId="6D1DE38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（1）我们在本估价报告中陈述的事实是真实的和准确的。</w:t>
      </w:r>
    </w:p>
    <w:p w14:paraId="39CF71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（2）本估价报告中的分析、意见和结论是我们自己公正的专业分析、意见和结论，但受到本估价报告中已说明的假设和限制条件的限制。</w:t>
      </w:r>
    </w:p>
    <w:p w14:paraId="2C6CD6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（3）我们与本估价报告中的估价对象没有利害关系，也与有关当事人没有个人利害关系或偏见。</w:t>
      </w:r>
    </w:p>
    <w:p w14:paraId="1D06545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（4）我们依照中华人民共和国国家标准《房地产估价规范》（GB/T50281-2015）、《房地产估价基本术语标准》（GB/T50899-2013）进行分析，形成意见和结论，撰写本估价报告。</w:t>
      </w:r>
    </w:p>
    <w:p w14:paraId="5E8611B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（5）估价作业人员已于2024年</w:t>
      </w:r>
      <w:r>
        <w:rPr>
          <w:rFonts w:hint="eastAsia" w:ascii="仿宋_GB2312" w:eastAsia="仿宋_GB2312"/>
          <w:color w:val="000000"/>
          <w:lang w:val="en-US" w:eastAsia="zh-CN"/>
        </w:rPr>
        <w:t>11</w:t>
      </w:r>
      <w:r>
        <w:rPr>
          <w:rFonts w:hint="eastAsia" w:ascii="仿宋_GB2312" w:eastAsia="仿宋_GB2312"/>
          <w:color w:val="000000"/>
        </w:rPr>
        <w:t>月</w:t>
      </w:r>
      <w:r>
        <w:rPr>
          <w:rFonts w:hint="eastAsia" w:ascii="仿宋_GB2312" w:eastAsia="仿宋_GB2312"/>
          <w:color w:val="000000"/>
          <w:lang w:val="en-US" w:eastAsia="zh-CN"/>
        </w:rPr>
        <w:t>01</w:t>
      </w:r>
      <w:r>
        <w:rPr>
          <w:rFonts w:hint="eastAsia" w:ascii="仿宋_GB2312" w:eastAsia="仿宋_GB2312"/>
          <w:color w:val="000000"/>
        </w:rPr>
        <w:t>日对本估价报告中的估价对象进行了实地查勘并进行记录。</w:t>
      </w:r>
    </w:p>
    <w:p w14:paraId="65C728E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（6）本报告的估价结果为估价对象的整体价值，未扣除其已作抵押或已出售部分的价值。</w:t>
      </w:r>
    </w:p>
    <w:p w14:paraId="1FEBCD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7）我们已对本估价报告中的估价对象建筑结构及室外状况进行了实地查勘并估价师现场进行记录，但仅限于估价对象的外观与目前维护管理状况，因其提供资料有限，我们不承担对估价建筑结构质量、建筑面积数量准确性和相应权益的责任，我们不承担对建筑物结构质量进行调查的责任。</w:t>
      </w:r>
    </w:p>
    <w:p w14:paraId="02372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（8）没有人对本估价报告提供重要专业帮助。</w:t>
      </w:r>
    </w:p>
    <w:p w14:paraId="722338B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（9）本报告中所依据的有关估价对象建筑面积和权益资料由委托人及相关当事人提供。</w:t>
      </w:r>
    </w:p>
    <w:p w14:paraId="471280D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000000"/>
        </w:rPr>
      </w:pPr>
      <w:r>
        <w:rPr>
          <w:rFonts w:hint="eastAsia" w:ascii="仿宋_GB2312" w:eastAsia="仿宋_GB2312"/>
          <w:color w:val="000000"/>
        </w:rPr>
        <w:t>（10）发现本报告内文字或数字因校印或其它原因出现错误时请委托人及时通知本公司进行更正，否则报告误差部分及影响部分视为无效。</w:t>
      </w:r>
    </w:p>
    <w:tbl>
      <w:tblPr>
        <w:tblStyle w:val="10"/>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2FA8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65" w:type="dxa"/>
            <w:tcBorders>
              <w:top w:val="single" w:color="auto" w:sz="4" w:space="0"/>
              <w:left w:val="single" w:color="auto" w:sz="4" w:space="0"/>
              <w:bottom w:val="single" w:color="auto" w:sz="4" w:space="0"/>
              <w:right w:val="single" w:color="auto" w:sz="4" w:space="0"/>
            </w:tcBorders>
            <w:vAlign w:val="center"/>
          </w:tcPr>
          <w:p w14:paraId="5C8660C1">
            <w:pPr>
              <w:spacing w:line="520" w:lineRule="exact"/>
              <w:jc w:val="center"/>
              <w:rPr>
                <w:rFonts w:ascii="仿宋_GB2312" w:eastAsia="仿宋_GB2312"/>
                <w:color w:val="000000"/>
              </w:rPr>
            </w:pPr>
            <w:r>
              <w:rPr>
                <w:rFonts w:hint="eastAsia" w:ascii="仿宋_GB2312" w:eastAsia="仿宋_GB2312"/>
                <w:color w:val="000000"/>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4FF929F9">
            <w:pPr>
              <w:spacing w:line="520" w:lineRule="exact"/>
              <w:jc w:val="center"/>
              <w:rPr>
                <w:rFonts w:ascii="仿宋_GB2312" w:eastAsia="仿宋_GB2312"/>
                <w:color w:val="000000"/>
              </w:rPr>
            </w:pPr>
            <w:r>
              <w:rPr>
                <w:rFonts w:hint="eastAsia" w:ascii="仿宋_GB2312" w:eastAsia="仿宋_GB2312"/>
                <w:color w:val="000000"/>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DCB9CBC">
            <w:pPr>
              <w:spacing w:line="520" w:lineRule="exact"/>
              <w:jc w:val="center"/>
              <w:rPr>
                <w:rFonts w:ascii="仿宋_GB2312" w:eastAsia="仿宋_GB2312"/>
                <w:color w:val="000000"/>
              </w:rPr>
            </w:pPr>
            <w:r>
              <w:rPr>
                <w:rFonts w:hint="eastAsia" w:ascii="仿宋_GB2312" w:eastAsia="仿宋_GB2312"/>
                <w:color w:val="000000"/>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71CB0AFD">
            <w:pPr>
              <w:spacing w:line="520" w:lineRule="exact"/>
              <w:jc w:val="center"/>
              <w:rPr>
                <w:rFonts w:ascii="仿宋_GB2312" w:eastAsia="仿宋_GB2312"/>
                <w:color w:val="000000"/>
              </w:rPr>
            </w:pPr>
            <w:r>
              <w:rPr>
                <w:rFonts w:hint="eastAsia" w:ascii="仿宋_GB2312" w:eastAsia="仿宋_GB2312"/>
                <w:color w:val="000000"/>
              </w:rPr>
              <w:t>签名日期</w:t>
            </w:r>
          </w:p>
        </w:tc>
      </w:tr>
      <w:tr w14:paraId="29D3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65" w:type="dxa"/>
            <w:tcBorders>
              <w:top w:val="single" w:color="auto" w:sz="4" w:space="0"/>
              <w:left w:val="single" w:color="auto" w:sz="4" w:space="0"/>
              <w:bottom w:val="single" w:color="auto" w:sz="4" w:space="0"/>
              <w:right w:val="single" w:color="auto" w:sz="4" w:space="0"/>
            </w:tcBorders>
            <w:vAlign w:val="center"/>
          </w:tcPr>
          <w:p w14:paraId="4C298334">
            <w:pPr>
              <w:spacing w:line="520" w:lineRule="exact"/>
              <w:jc w:val="center"/>
              <w:rPr>
                <w:rFonts w:ascii="仿宋_GB2312" w:eastAsia="仿宋_GB2312"/>
                <w:color w:val="000000"/>
              </w:rPr>
            </w:pPr>
            <w:r>
              <w:rPr>
                <w:rFonts w:hint="eastAsia" w:ascii="仿宋_GB2312" w:eastAsia="仿宋_GB2312"/>
                <w:color w:val="000000"/>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7B51BE17">
            <w:pPr>
              <w:spacing w:line="520" w:lineRule="exact"/>
              <w:jc w:val="center"/>
              <w:rPr>
                <w:rFonts w:ascii="仿宋_GB2312" w:eastAsia="仿宋_GB2312"/>
                <w:color w:val="000000"/>
              </w:rPr>
            </w:pPr>
            <w:r>
              <w:rPr>
                <w:rFonts w:hint="eastAsia" w:ascii="仿宋_GB2312" w:eastAsia="仿宋_GB2312"/>
                <w:color w:val="000000"/>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0FD6277F">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236F0A74">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r w14:paraId="2EE4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65" w:type="dxa"/>
            <w:tcBorders>
              <w:top w:val="single" w:color="auto" w:sz="4" w:space="0"/>
              <w:left w:val="single" w:color="auto" w:sz="4" w:space="0"/>
              <w:bottom w:val="single" w:color="auto" w:sz="4" w:space="0"/>
              <w:right w:val="single" w:color="auto" w:sz="4" w:space="0"/>
            </w:tcBorders>
            <w:vAlign w:val="center"/>
          </w:tcPr>
          <w:p w14:paraId="1FB1D44E">
            <w:pPr>
              <w:spacing w:line="520" w:lineRule="exact"/>
              <w:jc w:val="center"/>
              <w:rPr>
                <w:rFonts w:ascii="仿宋_GB2312" w:eastAsia="仿宋_GB2312"/>
                <w:color w:val="000000"/>
              </w:rPr>
            </w:pPr>
            <w:r>
              <w:rPr>
                <w:rFonts w:hint="eastAsia" w:ascii="仿宋_GB2312" w:eastAsia="仿宋_GB2312"/>
                <w:color w:val="000000"/>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05BC2FCC">
            <w:pPr>
              <w:spacing w:line="520" w:lineRule="exact"/>
              <w:jc w:val="center"/>
              <w:rPr>
                <w:rFonts w:ascii="仿宋_GB2312" w:eastAsia="仿宋_GB2312"/>
                <w:color w:val="000000"/>
              </w:rPr>
            </w:pPr>
            <w:r>
              <w:rPr>
                <w:rFonts w:hint="eastAsia" w:ascii="仿宋_GB2312" w:eastAsia="仿宋_GB2312"/>
                <w:color w:val="000000"/>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4AB16C33">
            <w:pPr>
              <w:spacing w:line="520" w:lineRule="exact"/>
              <w:jc w:val="center"/>
              <w:rPr>
                <w:rFonts w:ascii="仿宋_GB2312" w:eastAsia="仿宋_GB2312"/>
                <w:color w:val="000000"/>
              </w:rPr>
            </w:pPr>
          </w:p>
        </w:tc>
        <w:tc>
          <w:tcPr>
            <w:tcW w:w="2675" w:type="dxa"/>
            <w:tcBorders>
              <w:top w:val="single" w:color="auto" w:sz="4" w:space="0"/>
              <w:left w:val="single" w:color="auto" w:sz="4" w:space="0"/>
              <w:bottom w:val="single" w:color="auto" w:sz="4" w:space="0"/>
              <w:right w:val="single" w:color="auto" w:sz="4" w:space="0"/>
            </w:tcBorders>
            <w:vAlign w:val="center"/>
          </w:tcPr>
          <w:p w14:paraId="707101C8">
            <w:pPr>
              <w:spacing w:line="520" w:lineRule="exact"/>
              <w:jc w:val="center"/>
              <w:rPr>
                <w:rFonts w:ascii="仿宋_GB2312" w:eastAsia="仿宋_GB2312"/>
                <w:color w:val="000000"/>
              </w:rPr>
            </w:pPr>
            <w:r>
              <w:rPr>
                <w:rFonts w:ascii="仿宋_GB2312" w:eastAsia="仿宋_GB2312"/>
                <w:color w:val="000000"/>
              </w:rPr>
              <w:fldChar w:fldCharType="begin"/>
            </w:r>
            <w:r>
              <w:rPr>
                <w:rFonts w:ascii="仿宋_GB2312" w:eastAsia="仿宋_GB2312"/>
                <w:color w:val="000000"/>
              </w:rPr>
              <w:instrText xml:space="preserve"> MERGEFIELD "</w:instrText>
            </w:r>
            <w:r>
              <w:rPr>
                <w:rFonts w:hint="eastAsia" w:ascii="仿宋_GB2312" w:eastAsia="仿宋_GB2312"/>
                <w:color w:val="000000"/>
              </w:rPr>
              <w:instrText xml:space="preserve">作业时间</w:instrText>
            </w:r>
            <w:r>
              <w:rPr>
                <w:rFonts w:ascii="仿宋_GB2312" w:eastAsia="仿宋_GB2312"/>
                <w:color w:val="000000"/>
              </w:rPr>
              <w:instrText xml:space="preserve">" </w:instrText>
            </w:r>
            <w:r>
              <w:rPr>
                <w:rFonts w:hint="eastAsia" w:ascii="仿宋_GB2312" w:eastAsia="仿宋_GB2312"/>
                <w:color w:val="000000"/>
              </w:rPr>
              <w:instrText xml:space="preserve">\@YYYY年M月D日</w:instrText>
            </w:r>
            <w:r>
              <w:rPr>
                <w:rFonts w:ascii="仿宋_GB2312" w:eastAsia="仿宋_GB2312"/>
                <w:color w:val="000000"/>
              </w:rPr>
              <w:fldChar w:fldCharType="separate"/>
            </w:r>
            <w:r>
              <w:rPr>
                <w:rFonts w:hint="eastAsia" w:ascii="仿宋_GB2312" w:eastAsia="仿宋_GB2312"/>
                <w:color w:val="000000"/>
                <w:lang w:eastAsia="zh-CN"/>
              </w:rPr>
              <w:t>2024年11月28日</w:t>
            </w:r>
            <w:r>
              <w:rPr>
                <w:rFonts w:ascii="仿宋_GB2312" w:eastAsia="仿宋_GB2312"/>
                <w:color w:val="000000"/>
              </w:rPr>
              <w:fldChar w:fldCharType="end"/>
            </w:r>
          </w:p>
        </w:tc>
      </w:tr>
    </w:tbl>
    <w:p w14:paraId="375DE0EE">
      <w:pPr>
        <w:spacing w:line="360" w:lineRule="auto"/>
        <w:jc w:val="center"/>
        <w:rPr>
          <w:rFonts w:ascii="宋体" w:hAnsi="宋体"/>
          <w:b/>
          <w:color w:val="000000"/>
          <w:sz w:val="44"/>
          <w:szCs w:val="44"/>
        </w:rPr>
      </w:pPr>
      <w:r>
        <w:rPr>
          <w:rFonts w:hint="eastAsia" w:ascii="宋体" w:hAnsi="宋体"/>
          <w:b/>
          <w:color w:val="000000"/>
          <w:sz w:val="44"/>
          <w:szCs w:val="44"/>
        </w:rPr>
        <w:t>估价的假设和限制条件</w:t>
      </w:r>
    </w:p>
    <w:p w14:paraId="759582F3">
      <w:pPr>
        <w:spacing w:line="360" w:lineRule="auto"/>
        <w:rPr>
          <w:rFonts w:ascii="仿宋_GB2312" w:eastAsia="仿宋_GB2312"/>
          <w:color w:val="000000"/>
        </w:rPr>
      </w:pPr>
      <w:r>
        <w:rPr>
          <w:rFonts w:hint="eastAsia" w:ascii="仿宋_GB2312" w:eastAsia="仿宋_GB2312"/>
          <w:color w:val="000000"/>
        </w:rPr>
        <w:t>一．估价的假设条件：</w:t>
      </w:r>
    </w:p>
    <w:p w14:paraId="56716B6D">
      <w:pPr>
        <w:spacing w:line="360" w:lineRule="auto"/>
        <w:ind w:firstLine="280" w:firstLineChars="100"/>
        <w:rPr>
          <w:rFonts w:ascii="仿宋_GB2312" w:eastAsia="仿宋_GB2312"/>
          <w:color w:val="000000"/>
        </w:rPr>
      </w:pPr>
      <w:r>
        <w:rPr>
          <w:rFonts w:hint="eastAsia" w:ascii="仿宋_GB2312" w:eastAsia="仿宋_GB2312"/>
          <w:color w:val="000000"/>
        </w:rPr>
        <w:t>1.交易假设：假定所有待评估资产已经处在交易过程中，估价师根据待评估资产的交易条件等模拟市场进行估价。</w:t>
      </w:r>
    </w:p>
    <w:p w14:paraId="7311E88B">
      <w:pPr>
        <w:spacing w:line="360" w:lineRule="auto"/>
        <w:ind w:firstLine="280" w:firstLineChars="100"/>
        <w:rPr>
          <w:rFonts w:ascii="仿宋_GB2312" w:eastAsia="仿宋_GB2312"/>
          <w:color w:val="000000"/>
        </w:rPr>
      </w:pPr>
      <w:r>
        <w:rPr>
          <w:rFonts w:hint="eastAsia" w:ascii="仿宋_GB2312" w:eastAsia="仿宋_GB2312"/>
          <w:color w:val="000000"/>
        </w:rPr>
        <w:t>2.产权持有者对估价对象拥有完全产权，不存在产权及其它经济纠纷。</w:t>
      </w:r>
    </w:p>
    <w:p w14:paraId="36D26EC5">
      <w:pPr>
        <w:spacing w:line="360" w:lineRule="auto"/>
        <w:ind w:firstLine="280" w:firstLineChars="100"/>
        <w:rPr>
          <w:rFonts w:ascii="仿宋_GB2312" w:eastAsia="仿宋_GB2312"/>
          <w:color w:val="000000"/>
        </w:rPr>
      </w:pPr>
      <w:r>
        <w:rPr>
          <w:rFonts w:hint="eastAsia" w:ascii="仿宋_GB2312" w:eastAsia="仿宋_GB2312"/>
          <w:color w:val="000000"/>
        </w:rPr>
        <w:t>3.假设委托方处置资产的方式为有序处置。委估资产采用整体拍卖处置的方式进行而不是零星处置。</w:t>
      </w:r>
    </w:p>
    <w:p w14:paraId="1C2DBC73">
      <w:pPr>
        <w:spacing w:line="360" w:lineRule="auto"/>
        <w:ind w:firstLine="280" w:firstLineChars="100"/>
        <w:rPr>
          <w:rFonts w:ascii="仿宋_GB2312" w:eastAsia="仿宋_GB2312"/>
          <w:color w:val="000000"/>
        </w:rPr>
      </w:pPr>
      <w:r>
        <w:rPr>
          <w:rFonts w:hint="eastAsia" w:ascii="仿宋_GB2312" w:eastAsia="仿宋_GB2312"/>
          <w:color w:val="000000"/>
        </w:rPr>
        <w:t>4.估价委托人及相关当事人提供的相关资料合法合规、真实有效。</w:t>
      </w:r>
    </w:p>
    <w:p w14:paraId="560C749E">
      <w:pPr>
        <w:spacing w:line="360" w:lineRule="auto"/>
        <w:ind w:firstLine="280" w:firstLineChars="100"/>
        <w:rPr>
          <w:rFonts w:ascii="仿宋_GB2312" w:eastAsia="仿宋_GB2312"/>
          <w:color w:val="000000"/>
        </w:rPr>
      </w:pPr>
      <w:r>
        <w:rPr>
          <w:rFonts w:hint="eastAsia" w:ascii="仿宋_GB2312" w:eastAsia="仿宋_GB2312"/>
          <w:color w:val="000000"/>
        </w:rPr>
        <w:t>5.注册房地产估价师已对房屋安全等影响估价对象价值的重大因素给予了关注，在无理由怀疑估价对象存在安全隐患且无相应的专业机构进行鉴定、检测的情况下，假定估价对象能正常安全使用。</w:t>
      </w:r>
    </w:p>
    <w:p w14:paraId="052D3556">
      <w:pPr>
        <w:spacing w:line="360" w:lineRule="auto"/>
        <w:ind w:firstLine="280" w:firstLineChars="100"/>
        <w:rPr>
          <w:rFonts w:ascii="仿宋_GB2312" w:eastAsia="仿宋_GB2312"/>
          <w:color w:val="000000"/>
        </w:rPr>
      </w:pPr>
      <w:r>
        <w:rPr>
          <w:rFonts w:hint="eastAsia" w:ascii="仿宋_GB2312" w:eastAsia="仿宋_GB2312"/>
          <w:color w:val="000000"/>
        </w:rPr>
        <w:t>6.估价对象在价值时点的房地产市场为公开、平等、自愿的交易市场，即能满足以下条件：</w:t>
      </w:r>
    </w:p>
    <w:p w14:paraId="1554CF7A">
      <w:pPr>
        <w:spacing w:line="360" w:lineRule="auto"/>
        <w:ind w:firstLine="280" w:firstLineChars="100"/>
        <w:rPr>
          <w:rFonts w:ascii="仿宋_GB2312" w:eastAsia="仿宋_GB2312"/>
          <w:color w:val="000000"/>
        </w:rPr>
      </w:pPr>
      <w:r>
        <w:rPr>
          <w:rFonts w:hint="eastAsia" w:ascii="仿宋_GB2312" w:eastAsia="仿宋_GB2312"/>
          <w:color w:val="000000"/>
        </w:rPr>
        <w:t>(1)交易双方自愿地进行交易；</w:t>
      </w:r>
    </w:p>
    <w:p w14:paraId="5653D423">
      <w:pPr>
        <w:spacing w:line="360" w:lineRule="auto"/>
        <w:ind w:firstLine="280" w:firstLineChars="100"/>
        <w:rPr>
          <w:rFonts w:ascii="仿宋_GB2312" w:eastAsia="仿宋_GB2312"/>
          <w:color w:val="000000"/>
        </w:rPr>
      </w:pPr>
      <w:r>
        <w:rPr>
          <w:rFonts w:hint="eastAsia" w:ascii="仿宋_GB2312" w:eastAsia="仿宋_GB2312"/>
          <w:color w:val="000000"/>
        </w:rPr>
        <w:t>(2)交易双方处于利已动机进行交易;</w:t>
      </w:r>
    </w:p>
    <w:p w14:paraId="51AB08AB">
      <w:pPr>
        <w:spacing w:line="360" w:lineRule="auto"/>
        <w:ind w:firstLine="280" w:firstLineChars="100"/>
        <w:rPr>
          <w:rFonts w:ascii="仿宋_GB2312" w:eastAsia="仿宋_GB2312"/>
          <w:color w:val="000000"/>
        </w:rPr>
      </w:pPr>
      <w:r>
        <w:rPr>
          <w:rFonts w:hint="eastAsia" w:ascii="仿宋_GB2312" w:eastAsia="仿宋_GB2312"/>
          <w:color w:val="000000"/>
        </w:rPr>
        <w:t>(3)交易双方精明、谨慎行事，并了解交易对象、知晓市场行情；</w:t>
      </w:r>
    </w:p>
    <w:p w14:paraId="12998809">
      <w:pPr>
        <w:spacing w:line="360" w:lineRule="auto"/>
        <w:ind w:firstLine="280" w:firstLineChars="100"/>
        <w:rPr>
          <w:rFonts w:ascii="仿宋_GB2312" w:eastAsia="仿宋_GB2312"/>
          <w:color w:val="000000"/>
        </w:rPr>
      </w:pPr>
      <w:r>
        <w:rPr>
          <w:rFonts w:hint="eastAsia" w:ascii="仿宋_GB2312" w:eastAsia="仿宋_GB2312"/>
          <w:color w:val="000000"/>
        </w:rPr>
        <w:t>(4)交易双方有较充裕的时间进行交易；</w:t>
      </w:r>
    </w:p>
    <w:p w14:paraId="3CB7B4C6">
      <w:pPr>
        <w:spacing w:line="360" w:lineRule="auto"/>
        <w:ind w:firstLine="280" w:firstLineChars="100"/>
        <w:rPr>
          <w:rFonts w:ascii="仿宋_GB2312" w:eastAsia="仿宋_GB2312"/>
          <w:color w:val="000000"/>
        </w:rPr>
      </w:pPr>
      <w:r>
        <w:rPr>
          <w:rFonts w:hint="eastAsia" w:ascii="仿宋_GB2312" w:eastAsia="仿宋_GB2312"/>
          <w:color w:val="000000"/>
        </w:rPr>
        <w:t>(5)不存在买者因特殊兴趣而给予附加出价。</w:t>
      </w:r>
    </w:p>
    <w:p w14:paraId="0A1CAC16">
      <w:pPr>
        <w:spacing w:line="360" w:lineRule="auto"/>
        <w:ind w:firstLine="560" w:firstLineChars="200"/>
        <w:rPr>
          <w:rFonts w:ascii="仿宋_GB2312" w:eastAsia="仿宋_GB2312"/>
          <w:color w:val="000000"/>
        </w:rPr>
      </w:pPr>
      <w:r>
        <w:rPr>
          <w:rFonts w:hint="eastAsia" w:ascii="仿宋_GB2312" w:eastAsia="仿宋_GB2312"/>
          <w:color w:val="000000"/>
        </w:rPr>
        <w:t>本估价报告及估价结论是依据上述估价假设条件，以及本估价报告中确定的原则、依据、条件、方法和程序得出的结果，若上述假设条件发生变化时，本估价报告及结论会自行失效。</w:t>
      </w:r>
    </w:p>
    <w:p w14:paraId="4316D37E">
      <w:pPr>
        <w:numPr>
          <w:ilvl w:val="0"/>
          <w:numId w:val="1"/>
        </w:numPr>
        <w:spacing w:line="360" w:lineRule="auto"/>
        <w:ind w:firstLine="280"/>
        <w:rPr>
          <w:rFonts w:ascii="仿宋_GB2312" w:eastAsia="仿宋_GB2312"/>
          <w:color w:val="000000"/>
        </w:rPr>
      </w:pPr>
      <w:r>
        <w:rPr>
          <w:rFonts w:hint="eastAsia" w:ascii="仿宋_GB2312" w:eastAsia="仿宋_GB2312"/>
          <w:color w:val="000000"/>
        </w:rPr>
        <w:t>特殊假设</w:t>
      </w:r>
    </w:p>
    <w:p w14:paraId="700E6833">
      <w:pPr>
        <w:spacing w:line="360" w:lineRule="auto"/>
        <w:ind w:firstLine="560" w:firstLineChars="200"/>
        <w:rPr>
          <w:rFonts w:ascii="仿宋_GB2312" w:eastAsia="仿宋_GB2312"/>
          <w:color w:val="000000"/>
        </w:rPr>
      </w:pPr>
      <w:r>
        <w:rPr>
          <w:rFonts w:hint="eastAsia" w:ascii="仿宋_GB2312" w:eastAsia="仿宋_GB2312"/>
          <w:color w:val="000000"/>
        </w:rPr>
        <w:t>无未定事项假设</w:t>
      </w:r>
    </w:p>
    <w:p w14:paraId="74B6BD06">
      <w:pPr>
        <w:spacing w:line="360" w:lineRule="auto"/>
        <w:rPr>
          <w:rFonts w:ascii="仿宋_GB2312" w:eastAsia="仿宋_GB2312"/>
          <w:color w:val="000000"/>
        </w:rPr>
      </w:pPr>
      <w:r>
        <w:rPr>
          <w:rFonts w:hint="eastAsia" w:ascii="仿宋_GB2312" w:eastAsia="仿宋_GB2312"/>
          <w:color w:val="000000"/>
        </w:rPr>
        <w:t>三．估价的限制条件：</w:t>
      </w:r>
    </w:p>
    <w:p w14:paraId="58A8F008">
      <w:pPr>
        <w:spacing w:line="360" w:lineRule="auto"/>
        <w:ind w:firstLine="560" w:firstLineChars="200"/>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szCs w:val="22"/>
        </w:rPr>
        <w:t>根据委托方及资产所有人提供的资料，</w:t>
      </w:r>
      <w:r>
        <w:rPr>
          <w:rFonts w:hint="eastAsia" w:ascii="仿宋_GB2312" w:eastAsia="仿宋_GB2312"/>
          <w:color w:val="000000"/>
        </w:rPr>
        <w:t>根据估价作业人员现场调查估价对象现状用途为</w:t>
      </w:r>
      <w:r>
        <w:rPr>
          <w:rFonts w:hint="eastAsia" w:ascii="仿宋_GB2312" w:eastAsia="仿宋_GB2312"/>
          <w:color w:val="000000"/>
          <w:lang w:val="en-US" w:eastAsia="zh-CN"/>
        </w:rPr>
        <w:t>商业房</w:t>
      </w:r>
      <w:r>
        <w:rPr>
          <w:rFonts w:hint="eastAsia" w:ascii="仿宋_GB2312" w:eastAsia="仿宋_GB2312"/>
          <w:color w:val="000000"/>
          <w:szCs w:val="22"/>
        </w:rPr>
        <w:t>。</w:t>
      </w:r>
    </w:p>
    <w:p w14:paraId="12F45905">
      <w:pPr>
        <w:spacing w:line="360" w:lineRule="auto"/>
        <w:ind w:firstLine="560" w:firstLineChars="200"/>
        <w:rPr>
          <w:rFonts w:ascii="仿宋_GB2312" w:eastAsia="仿宋_GB2312"/>
          <w:color w:val="000000"/>
        </w:rPr>
      </w:pPr>
      <w:r>
        <w:rPr>
          <w:rFonts w:hint="eastAsia" w:ascii="仿宋_GB2312" w:eastAsia="仿宋_GB2312"/>
          <w:color w:val="000000"/>
        </w:rPr>
        <w:t>2.估价对象的建筑面积，以委托人提供的《</w:t>
      </w:r>
      <w:r>
        <w:rPr>
          <w:rFonts w:hint="eastAsia" w:ascii="仿宋_GB2312" w:eastAsia="仿宋_GB2312"/>
          <w:color w:val="000000"/>
          <w:lang w:val="en-US" w:eastAsia="zh-CN"/>
        </w:rPr>
        <w:t>房屋所有权证</w:t>
      </w:r>
      <w:r>
        <w:rPr>
          <w:rFonts w:hint="eastAsia" w:ascii="仿宋_GB2312" w:eastAsia="仿宋_GB2312"/>
          <w:color w:val="000000"/>
        </w:rPr>
        <w:t>》记载为依据。如与国家有关测绘部门最终确认的面积有差异，本报告结果应作相应调整。</w:t>
      </w:r>
    </w:p>
    <w:p w14:paraId="0AE02363">
      <w:pPr>
        <w:spacing w:line="360" w:lineRule="auto"/>
        <w:ind w:firstLine="560" w:firstLineChars="200"/>
        <w:rPr>
          <w:rFonts w:ascii="仿宋_GB2312" w:eastAsia="仿宋_GB2312"/>
          <w:color w:val="000000"/>
        </w:rPr>
      </w:pPr>
      <w:r>
        <w:rPr>
          <w:rFonts w:hint="eastAsia" w:ascii="仿宋_GB2312" w:eastAsia="仿宋_GB2312"/>
          <w:color w:val="000000"/>
        </w:rPr>
        <w:t>3．本报告对估价对象市场价格的把握，仅相对于价值时点市场状况以及估价对象的现状而言，并未考虑市场价格波动、税费率的变化、国家经济政策发生变化、其它不可抗力以及快速变现等因素对估价对象价值的影响。</w:t>
      </w:r>
    </w:p>
    <w:p w14:paraId="53A039AD">
      <w:pPr>
        <w:pStyle w:val="32"/>
        <w:shd w:val="clear" w:color="auto" w:fill="FFFFFF"/>
        <w:spacing w:before="0" w:beforeAutospacing="0" w:after="0" w:afterAutospacing="0"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4．本报告的估价结果作为人民法院确定财产处置参考价提供参考依据，</w:t>
      </w:r>
      <w:r>
        <w:rPr>
          <w:rFonts w:hint="eastAsia" w:ascii="仿宋_GB2312" w:eastAsia="仿宋_GB2312"/>
          <w:color w:val="000000"/>
          <w:spacing w:val="-12"/>
          <w:sz w:val="28"/>
          <w:szCs w:val="28"/>
        </w:rPr>
        <w:t>不得用于其它用途</w:t>
      </w:r>
      <w:r>
        <w:rPr>
          <w:rFonts w:hint="eastAsia" w:ascii="仿宋_GB2312" w:eastAsia="仿宋_GB2312"/>
          <w:color w:val="000000"/>
          <w:sz w:val="28"/>
          <w:szCs w:val="28"/>
        </w:rPr>
        <w:t>。</w:t>
      </w:r>
    </w:p>
    <w:p w14:paraId="0CEC9230">
      <w:pPr>
        <w:spacing w:line="360" w:lineRule="auto"/>
        <w:ind w:firstLine="560" w:firstLineChars="200"/>
        <w:rPr>
          <w:rFonts w:ascii="仿宋_GB2312" w:eastAsia="仿宋_GB2312"/>
          <w:color w:val="000000"/>
          <w:szCs w:val="28"/>
        </w:rPr>
      </w:pPr>
      <w:r>
        <w:rPr>
          <w:rFonts w:hint="eastAsia" w:ascii="仿宋_GB2312" w:eastAsia="仿宋_GB2312"/>
          <w:color w:val="000000"/>
          <w:szCs w:val="28"/>
        </w:rPr>
        <w:t>5、本公司对估价结果有最终解释权。未经本公司同意，本报告的全部或部分内容不得公开发表。</w:t>
      </w:r>
    </w:p>
    <w:p w14:paraId="6C51C6B2">
      <w:pPr>
        <w:spacing w:line="500" w:lineRule="exact"/>
        <w:ind w:firstLine="560" w:firstLineChars="200"/>
        <w:rPr>
          <w:rFonts w:ascii="仿宋_GB2312" w:eastAsia="仿宋_GB2312"/>
          <w:color w:val="000000"/>
          <w:szCs w:val="28"/>
        </w:rPr>
      </w:pPr>
    </w:p>
    <w:p w14:paraId="00997C34">
      <w:pPr>
        <w:spacing w:line="500" w:lineRule="exact"/>
        <w:ind w:firstLine="560" w:firstLineChars="200"/>
        <w:rPr>
          <w:rFonts w:ascii="仿宋_GB2312" w:eastAsia="仿宋_GB2312"/>
          <w:color w:val="000000"/>
          <w:szCs w:val="28"/>
        </w:rPr>
      </w:pPr>
    </w:p>
    <w:p w14:paraId="6EFE04B5">
      <w:pPr>
        <w:spacing w:line="500" w:lineRule="exact"/>
        <w:rPr>
          <w:rFonts w:ascii="仿宋_GB2312" w:eastAsia="仿宋_GB2312"/>
          <w:color w:val="000000"/>
          <w:szCs w:val="28"/>
        </w:rPr>
      </w:pPr>
    </w:p>
    <w:p w14:paraId="703153D3">
      <w:pPr>
        <w:spacing w:line="180" w:lineRule="auto"/>
        <w:ind w:left="570"/>
        <w:jc w:val="center"/>
        <w:rPr>
          <w:rFonts w:ascii="宋体" w:hAnsi="宋体"/>
          <w:b/>
          <w:color w:val="000000"/>
          <w:sz w:val="52"/>
        </w:rPr>
      </w:pPr>
    </w:p>
    <w:p w14:paraId="77235539">
      <w:pPr>
        <w:spacing w:line="180" w:lineRule="auto"/>
        <w:ind w:left="570"/>
        <w:jc w:val="center"/>
        <w:rPr>
          <w:rFonts w:ascii="宋体" w:hAnsi="宋体"/>
          <w:b/>
          <w:color w:val="000000"/>
          <w:sz w:val="52"/>
        </w:rPr>
      </w:pPr>
    </w:p>
    <w:p w14:paraId="4AD725D1">
      <w:pPr>
        <w:spacing w:line="180" w:lineRule="auto"/>
        <w:ind w:left="570"/>
        <w:jc w:val="center"/>
        <w:rPr>
          <w:rFonts w:ascii="宋体" w:hAnsi="宋体"/>
          <w:b/>
          <w:color w:val="000000"/>
          <w:sz w:val="52"/>
        </w:rPr>
      </w:pPr>
    </w:p>
    <w:p w14:paraId="3586D0AF">
      <w:pPr>
        <w:spacing w:line="180" w:lineRule="auto"/>
        <w:ind w:left="570"/>
        <w:jc w:val="center"/>
        <w:rPr>
          <w:rFonts w:ascii="宋体" w:hAnsi="宋体"/>
          <w:b/>
          <w:color w:val="000000"/>
          <w:sz w:val="52"/>
        </w:rPr>
      </w:pPr>
    </w:p>
    <w:p w14:paraId="2F2AFE76">
      <w:pPr>
        <w:spacing w:line="180" w:lineRule="auto"/>
        <w:ind w:left="570"/>
        <w:jc w:val="center"/>
        <w:rPr>
          <w:rFonts w:ascii="宋体" w:hAnsi="宋体"/>
          <w:b/>
          <w:color w:val="000000"/>
          <w:sz w:val="52"/>
        </w:rPr>
      </w:pPr>
    </w:p>
    <w:p w14:paraId="4D31EC43">
      <w:pPr>
        <w:spacing w:line="180" w:lineRule="auto"/>
        <w:ind w:left="570"/>
        <w:jc w:val="center"/>
        <w:rPr>
          <w:rFonts w:ascii="宋体" w:hAnsi="宋体"/>
          <w:b/>
          <w:color w:val="000000"/>
          <w:sz w:val="52"/>
        </w:rPr>
      </w:pPr>
    </w:p>
    <w:p w14:paraId="3FE1F463">
      <w:pPr>
        <w:spacing w:line="180" w:lineRule="auto"/>
        <w:ind w:left="570"/>
        <w:jc w:val="center"/>
        <w:rPr>
          <w:rFonts w:ascii="宋体" w:hAnsi="宋体"/>
          <w:b/>
          <w:color w:val="000000"/>
          <w:sz w:val="52"/>
        </w:rPr>
      </w:pPr>
    </w:p>
    <w:p w14:paraId="1AF3F071">
      <w:pPr>
        <w:spacing w:line="180" w:lineRule="auto"/>
        <w:rPr>
          <w:rFonts w:ascii="宋体" w:hAnsi="宋体"/>
          <w:b/>
          <w:color w:val="000000"/>
          <w:sz w:val="52"/>
        </w:rPr>
      </w:pPr>
    </w:p>
    <w:p w14:paraId="0821C0B9">
      <w:pPr>
        <w:spacing w:line="180" w:lineRule="auto"/>
        <w:jc w:val="center"/>
        <w:rPr>
          <w:rFonts w:ascii="宋体" w:hAnsi="宋体"/>
          <w:b/>
          <w:color w:val="000000"/>
          <w:sz w:val="44"/>
          <w:szCs w:val="44"/>
        </w:rPr>
      </w:pPr>
      <w:r>
        <w:rPr>
          <w:rFonts w:hint="eastAsia" w:ascii="宋体" w:hAnsi="宋体"/>
          <w:b/>
          <w:color w:val="000000"/>
          <w:sz w:val="44"/>
          <w:szCs w:val="44"/>
        </w:rPr>
        <w:t>房地产估价结果报告</w:t>
      </w:r>
    </w:p>
    <w:p w14:paraId="011F1B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b/>
          <w:bCs/>
          <w:color w:val="000000"/>
        </w:rPr>
      </w:pPr>
      <w:r>
        <w:rPr>
          <w:rFonts w:hint="eastAsia" w:ascii="仿宋_GB2312" w:eastAsia="仿宋_GB2312"/>
          <w:b/>
          <w:bCs/>
          <w:color w:val="000000"/>
        </w:rPr>
        <w:t>一、委托人：</w:t>
      </w:r>
    </w:p>
    <w:p w14:paraId="4C68027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名称：莱州市人民法院</w:t>
      </w:r>
    </w:p>
    <w:p w14:paraId="2F7E59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地址：</w:t>
      </w:r>
      <w:r>
        <w:rPr>
          <w:rFonts w:hint="eastAsia" w:ascii="仿宋_GB2312" w:eastAsia="仿宋_GB2312"/>
          <w:color w:val="000000"/>
          <w:szCs w:val="28"/>
        </w:rPr>
        <w:t>莱州市北苑路2366号</w:t>
      </w:r>
    </w:p>
    <w:p w14:paraId="59213BF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二、估价方</w:t>
      </w:r>
      <w:r>
        <w:rPr>
          <w:rFonts w:hint="eastAsia" w:ascii="仿宋_GB2312" w:eastAsia="仿宋_GB2312"/>
          <w:color w:val="000000"/>
        </w:rPr>
        <w:t>：</w:t>
      </w:r>
    </w:p>
    <w:p w14:paraId="477713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估价机构名称：山东中创土地房地产资产评估测绘有限公司</w:t>
      </w:r>
    </w:p>
    <w:p w14:paraId="06121B5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color w:val="000000"/>
        </w:rPr>
        <w:t>地 址：</w:t>
      </w:r>
      <w:r>
        <w:rPr>
          <w:rFonts w:hint="eastAsia" w:ascii="仿宋_GB2312" w:eastAsia="仿宋_GB2312"/>
        </w:rPr>
        <w:t>山东省烟台市芝罘区南大街11号2010号</w:t>
      </w:r>
    </w:p>
    <w:p w14:paraId="48CE9DF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rPr>
      </w:pPr>
      <w:r>
        <w:rPr>
          <w:rFonts w:hint="eastAsia" w:ascii="仿宋_GB2312" w:eastAsia="仿宋_GB2312"/>
        </w:rPr>
        <w:t>法定代表人：陈岩         资质等级：壹级     资质编号：鲁评051032</w:t>
      </w:r>
    </w:p>
    <w:p w14:paraId="476B78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szCs w:val="28"/>
        </w:rPr>
      </w:pPr>
      <w:r>
        <w:rPr>
          <w:rFonts w:hint="eastAsia" w:ascii="仿宋_GB2312" w:eastAsia="仿宋_GB2312"/>
          <w:color w:val="000000"/>
          <w:szCs w:val="28"/>
        </w:rPr>
        <w:t>联系电话：0535---2287856</w:t>
      </w:r>
    </w:p>
    <w:p w14:paraId="598D949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olor w:val="000000"/>
        </w:rPr>
      </w:pPr>
      <w:r>
        <w:rPr>
          <w:rFonts w:hint="eastAsia" w:ascii="仿宋_GB2312" w:eastAsia="仿宋_GB2312"/>
          <w:b/>
          <w:bCs/>
          <w:color w:val="000000"/>
        </w:rPr>
        <w:t>三、估价对象概况</w:t>
      </w:r>
      <w:r>
        <w:rPr>
          <w:rFonts w:hint="eastAsia" w:ascii="仿宋_GB2312" w:eastAsia="仿宋_GB2312"/>
          <w:color w:val="000000"/>
        </w:rPr>
        <w:t>：</w:t>
      </w:r>
    </w:p>
    <w:p w14:paraId="382E1F1E">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（一）估价对象范围</w:t>
      </w:r>
    </w:p>
    <w:p w14:paraId="34862A2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eastAsia="zh-CN"/>
        </w:rPr>
        <w:t>冯光海</w:t>
      </w:r>
      <w:r>
        <w:rPr>
          <w:rFonts w:hint="eastAsia" w:ascii="仿宋_GB2312" w:eastAsia="仿宋_GB2312"/>
          <w:color w:val="000000"/>
          <w:szCs w:val="22"/>
        </w:rPr>
        <w:t>所属房地产,根据委托方提供的《</w:t>
      </w:r>
      <w:r>
        <w:rPr>
          <w:rFonts w:hint="eastAsia" w:ascii="仿宋_GB2312" w:eastAsia="仿宋_GB2312"/>
          <w:color w:val="000000"/>
          <w:szCs w:val="22"/>
          <w:lang w:val="en-US" w:eastAsia="zh-CN"/>
        </w:rPr>
        <w:t>房屋所有权证</w:t>
      </w:r>
      <w:r>
        <w:rPr>
          <w:rFonts w:hint="eastAsia" w:ascii="仿宋_GB2312" w:eastAsia="仿宋_GB2312"/>
          <w:color w:val="000000"/>
          <w:szCs w:val="22"/>
        </w:rPr>
        <w:t>》记载及</w:t>
      </w:r>
      <w:r>
        <w:rPr>
          <w:rFonts w:ascii="仿宋_GB2312" w:eastAsia="仿宋_GB2312"/>
          <w:color w:val="000000"/>
          <w:szCs w:val="22"/>
        </w:rPr>
        <w:t>评估人员现场</w:t>
      </w:r>
      <w:r>
        <w:rPr>
          <w:rFonts w:hint="eastAsia" w:ascii="仿宋_GB2312" w:eastAsia="仿宋_GB2312"/>
          <w:color w:val="000000"/>
          <w:szCs w:val="22"/>
        </w:rPr>
        <w:t>查勘，</w:t>
      </w:r>
      <w:r>
        <w:rPr>
          <w:rFonts w:hint="eastAsia" w:ascii="仿宋_GB2312" w:eastAsia="仿宋_GB2312"/>
          <w:color w:val="000000"/>
          <w:szCs w:val="22"/>
          <w:lang w:val="en-US" w:eastAsia="zh-CN"/>
        </w:rPr>
        <w:t>本次评估对象位于市区美乐家园1#楼23号车库，本次评估的资产范围为估价对象的房屋所有权及相应分摊的国有土地使用权，包括房屋正常使用不可分割的共用设备设施、装饰装修及权利人合法享有的相关权益。不包括估价对象内的动产以及债权债务等其他财产或权益。房屋装饰装修描述与现状不完全一致的或其他未述及部分，以现状实物为准</w:t>
      </w:r>
      <w:r>
        <w:rPr>
          <w:rFonts w:hint="eastAsia" w:ascii="仿宋_GB2312" w:eastAsia="仿宋_GB2312"/>
          <w:color w:val="000000"/>
          <w:szCs w:val="22"/>
        </w:rPr>
        <w:t>。</w:t>
      </w:r>
    </w:p>
    <w:p w14:paraId="1E9F02C5">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ascii="仿宋_GB2312" w:eastAsia="仿宋_GB2312"/>
          <w:color w:val="000000"/>
          <w:szCs w:val="22"/>
        </w:rPr>
      </w:pPr>
      <w:r>
        <w:rPr>
          <w:rFonts w:hint="eastAsia" w:ascii="仿宋_GB2312" w:eastAsia="仿宋_GB2312"/>
          <w:color w:val="000000"/>
          <w:szCs w:val="22"/>
        </w:rPr>
        <w:t>（二）估价对象权益状况</w:t>
      </w:r>
    </w:p>
    <w:p w14:paraId="70E358AF">
      <w:pPr>
        <w:spacing w:line="460" w:lineRule="exact"/>
        <w:jc w:val="center"/>
        <w:rPr>
          <w:rFonts w:ascii="仿宋_GB2312" w:eastAsia="仿宋_GB2312"/>
          <w:color w:val="000000"/>
          <w:szCs w:val="22"/>
        </w:rPr>
      </w:pPr>
      <w:r>
        <w:rPr>
          <w:rFonts w:hint="eastAsia" w:ascii="仿宋_GB2312" w:eastAsia="仿宋_GB2312"/>
          <w:color w:val="000000"/>
          <w:szCs w:val="22"/>
        </w:rPr>
        <w:t>房地产基本状况一览表</w:t>
      </w:r>
    </w:p>
    <w:tbl>
      <w:tblPr>
        <w:tblStyle w:val="10"/>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3734"/>
        <w:gridCol w:w="2000"/>
        <w:gridCol w:w="2716"/>
      </w:tblGrid>
      <w:tr w14:paraId="7449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790" w:type="dxa"/>
            <w:vAlign w:val="center"/>
          </w:tcPr>
          <w:p w14:paraId="6D702AF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不动产权证号</w:t>
            </w:r>
          </w:p>
        </w:tc>
        <w:tc>
          <w:tcPr>
            <w:tcW w:w="3734" w:type="dxa"/>
            <w:vAlign w:val="center"/>
          </w:tcPr>
          <w:p w14:paraId="500701CC">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莱房权证市区字第2000001973号</w:t>
            </w:r>
          </w:p>
        </w:tc>
        <w:tc>
          <w:tcPr>
            <w:tcW w:w="2000" w:type="dxa"/>
            <w:vAlign w:val="center"/>
          </w:tcPr>
          <w:p w14:paraId="2AC7B62A">
            <w:pPr>
              <w:jc w:val="center"/>
              <w:rPr>
                <w:rFonts w:ascii="仿宋_GB2312" w:eastAsia="仿宋_GB2312"/>
                <w:color w:val="000000"/>
                <w:szCs w:val="22"/>
              </w:rPr>
            </w:pPr>
            <w:r>
              <w:rPr>
                <w:rFonts w:hint="eastAsia" w:ascii="仿宋_GB2312" w:eastAsia="仿宋_GB2312"/>
                <w:color w:val="000000"/>
                <w:szCs w:val="22"/>
              </w:rPr>
              <w:t>房屋所有权人</w:t>
            </w:r>
          </w:p>
        </w:tc>
        <w:tc>
          <w:tcPr>
            <w:tcW w:w="2716" w:type="dxa"/>
            <w:vAlign w:val="center"/>
          </w:tcPr>
          <w:p w14:paraId="338BE7E9">
            <w:pPr>
              <w:jc w:val="center"/>
              <w:rPr>
                <w:rFonts w:hint="eastAsia" w:ascii="仿宋_GB2312" w:eastAsia="仿宋_GB2312"/>
                <w:color w:val="000000"/>
                <w:szCs w:val="22"/>
                <w:lang w:eastAsia="zh-CN"/>
              </w:rPr>
            </w:pPr>
            <w:r>
              <w:rPr>
                <w:rFonts w:hint="eastAsia" w:ascii="仿宋_GB2312" w:eastAsia="仿宋_GB2312"/>
                <w:color w:val="000000"/>
                <w:szCs w:val="22"/>
                <w:lang w:eastAsia="zh-CN"/>
              </w:rPr>
              <w:t>冯光海</w:t>
            </w:r>
          </w:p>
        </w:tc>
      </w:tr>
      <w:tr w14:paraId="3E68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90" w:type="dxa"/>
            <w:vAlign w:val="center"/>
          </w:tcPr>
          <w:p w14:paraId="3E6174FE">
            <w:pPr>
              <w:jc w:val="center"/>
              <w:rPr>
                <w:rFonts w:ascii="仿宋_GB2312" w:eastAsia="仿宋_GB2312"/>
                <w:color w:val="000000"/>
                <w:szCs w:val="22"/>
              </w:rPr>
            </w:pPr>
            <w:r>
              <w:rPr>
                <w:rFonts w:hint="eastAsia" w:ascii="仿宋_GB2312" w:eastAsia="仿宋_GB2312"/>
                <w:color w:val="000000"/>
                <w:szCs w:val="22"/>
              </w:rPr>
              <w:t>房屋座落</w:t>
            </w:r>
          </w:p>
        </w:tc>
        <w:tc>
          <w:tcPr>
            <w:tcW w:w="3734" w:type="dxa"/>
            <w:vAlign w:val="center"/>
          </w:tcPr>
          <w:p w14:paraId="44AA48FC">
            <w:pPr>
              <w:jc w:val="center"/>
              <w:rPr>
                <w:rFonts w:hint="eastAsia" w:ascii="仿宋_GB2312" w:eastAsia="仿宋_GB2312"/>
                <w:color w:val="000000"/>
                <w:szCs w:val="22"/>
                <w:lang w:eastAsia="zh-CN"/>
              </w:rPr>
            </w:pPr>
            <w:r>
              <w:rPr>
                <w:rFonts w:hint="eastAsia" w:ascii="仿宋_GB2312" w:eastAsia="仿宋_GB2312"/>
                <w:color w:val="000000"/>
                <w:lang w:eastAsia="zh-CN"/>
              </w:rPr>
              <w:t>市区美乐家园1#楼23号车库</w:t>
            </w:r>
          </w:p>
        </w:tc>
        <w:tc>
          <w:tcPr>
            <w:tcW w:w="2000" w:type="dxa"/>
            <w:vAlign w:val="center"/>
          </w:tcPr>
          <w:p w14:paraId="25BC7C92">
            <w:pPr>
              <w:jc w:val="center"/>
              <w:rPr>
                <w:rFonts w:ascii="仿宋_GB2312" w:eastAsia="仿宋_GB2312"/>
                <w:color w:val="000000"/>
                <w:szCs w:val="22"/>
              </w:rPr>
            </w:pPr>
            <w:r>
              <w:rPr>
                <w:rFonts w:hint="eastAsia" w:ascii="仿宋_GB2312" w:eastAsia="仿宋_GB2312"/>
                <w:color w:val="000000"/>
                <w:szCs w:val="22"/>
              </w:rPr>
              <w:t>建筑面积（㎡）</w:t>
            </w:r>
          </w:p>
        </w:tc>
        <w:tc>
          <w:tcPr>
            <w:tcW w:w="2716" w:type="dxa"/>
            <w:vAlign w:val="center"/>
          </w:tcPr>
          <w:p w14:paraId="2BC7232A">
            <w:pPr>
              <w:jc w:val="center"/>
              <w:rPr>
                <w:rFonts w:hint="default" w:ascii="仿宋_GB2312" w:eastAsia="仿宋_GB2312"/>
                <w:color w:val="000000"/>
                <w:szCs w:val="22"/>
                <w:lang w:val="en-US" w:eastAsia="zh-CN"/>
              </w:rPr>
            </w:pPr>
            <w:r>
              <w:rPr>
                <w:rFonts w:hint="eastAsia" w:ascii="仿宋_GB2312" w:eastAsia="仿宋_GB2312"/>
                <w:color w:val="000000"/>
                <w:szCs w:val="22"/>
                <w:lang w:eastAsia="zh-CN"/>
              </w:rPr>
              <w:t>22.84</w:t>
            </w:r>
          </w:p>
        </w:tc>
      </w:tr>
      <w:tr w14:paraId="3169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790" w:type="dxa"/>
            <w:vAlign w:val="center"/>
          </w:tcPr>
          <w:p w14:paraId="29B4890C">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w:t>
            </w:r>
            <w:r>
              <w:rPr>
                <w:rFonts w:hint="eastAsia" w:ascii="仿宋_GB2312" w:eastAsia="仿宋_GB2312"/>
                <w:color w:val="000000"/>
                <w:szCs w:val="22"/>
              </w:rPr>
              <w:t>类型</w:t>
            </w:r>
          </w:p>
        </w:tc>
        <w:tc>
          <w:tcPr>
            <w:tcW w:w="3734" w:type="dxa"/>
            <w:vAlign w:val="center"/>
          </w:tcPr>
          <w:p w14:paraId="6BD30E17">
            <w:pPr>
              <w:jc w:val="center"/>
              <w:rPr>
                <w:rFonts w:ascii="仿宋_GB2312" w:eastAsia="仿宋_GB2312"/>
                <w:color w:val="000000"/>
                <w:szCs w:val="22"/>
              </w:rPr>
            </w:pPr>
            <w:r>
              <w:rPr>
                <w:rFonts w:hint="eastAsia" w:ascii="仿宋_GB2312" w:eastAsia="仿宋_GB2312"/>
                <w:color w:val="000000"/>
                <w:szCs w:val="22"/>
              </w:rPr>
              <w:t>房屋</w:t>
            </w:r>
          </w:p>
        </w:tc>
        <w:tc>
          <w:tcPr>
            <w:tcW w:w="2000" w:type="dxa"/>
            <w:vAlign w:val="center"/>
          </w:tcPr>
          <w:p w14:paraId="049BB610">
            <w:pPr>
              <w:jc w:val="center"/>
              <w:rPr>
                <w:rFonts w:ascii="仿宋_GB2312" w:eastAsia="仿宋_GB2312"/>
                <w:color w:val="000000"/>
                <w:szCs w:val="22"/>
              </w:rPr>
            </w:pPr>
            <w:r>
              <w:rPr>
                <w:rFonts w:hint="eastAsia" w:ascii="仿宋_GB2312" w:eastAsia="仿宋_GB2312"/>
                <w:color w:val="000000"/>
                <w:szCs w:val="22"/>
              </w:rPr>
              <w:t>用途</w:t>
            </w:r>
          </w:p>
        </w:tc>
        <w:tc>
          <w:tcPr>
            <w:tcW w:w="2716" w:type="dxa"/>
            <w:vAlign w:val="center"/>
          </w:tcPr>
          <w:p w14:paraId="26BDDEA8">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车库</w:t>
            </w:r>
          </w:p>
        </w:tc>
      </w:tr>
      <w:tr w14:paraId="1ECB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253636BB">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宗地面积</w:t>
            </w:r>
          </w:p>
        </w:tc>
        <w:tc>
          <w:tcPr>
            <w:tcW w:w="3734" w:type="dxa"/>
            <w:vAlign w:val="center"/>
          </w:tcPr>
          <w:p w14:paraId="1F3740CF">
            <w:pPr>
              <w:jc w:val="center"/>
              <w:rPr>
                <w:rFonts w:hint="default" w:ascii="仿宋_GB2312" w:eastAsia="仿宋_GB2312"/>
                <w:color w:val="000000"/>
                <w:szCs w:val="22"/>
                <w:lang w:val="en-US" w:eastAsia="zh-CN"/>
              </w:rPr>
            </w:pPr>
            <w:r>
              <w:rPr>
                <w:rFonts w:hint="eastAsia" w:ascii="仿宋_GB2312" w:eastAsia="仿宋_GB2312"/>
                <w:color w:val="000000"/>
                <w:szCs w:val="22"/>
                <w:lang w:val="en-US" w:eastAsia="zh-CN"/>
              </w:rPr>
              <w:t>/</w:t>
            </w:r>
          </w:p>
        </w:tc>
        <w:tc>
          <w:tcPr>
            <w:tcW w:w="2000" w:type="dxa"/>
            <w:vAlign w:val="center"/>
          </w:tcPr>
          <w:p w14:paraId="5A50BBE9">
            <w:pPr>
              <w:jc w:val="center"/>
              <w:rPr>
                <w:rFonts w:hint="eastAsia" w:ascii="仿宋_GB2312" w:eastAsia="仿宋_GB2312"/>
                <w:color w:val="000000"/>
                <w:szCs w:val="22"/>
                <w:lang w:val="en-US" w:eastAsia="zh-CN"/>
              </w:rPr>
            </w:pPr>
            <w:r>
              <w:rPr>
                <w:rFonts w:hint="eastAsia" w:ascii="仿宋_GB2312" w:eastAsia="仿宋_GB2312"/>
                <w:color w:val="000000"/>
                <w:szCs w:val="22"/>
                <w:lang w:val="en-US" w:eastAsia="zh-CN"/>
              </w:rPr>
              <w:t>土地用途</w:t>
            </w:r>
          </w:p>
        </w:tc>
        <w:tc>
          <w:tcPr>
            <w:tcW w:w="2716" w:type="dxa"/>
            <w:vAlign w:val="center"/>
          </w:tcPr>
          <w:p w14:paraId="3B770610">
            <w:pPr>
              <w:jc w:val="center"/>
              <w:rPr>
                <w:rFonts w:hint="default" w:ascii="仿宋_GB2312" w:eastAsia="仿宋_GB2312"/>
                <w:szCs w:val="22"/>
                <w:lang w:val="en-US" w:eastAsia="zh-CN"/>
              </w:rPr>
            </w:pPr>
            <w:r>
              <w:rPr>
                <w:rFonts w:hint="eastAsia" w:ascii="仿宋_GB2312" w:eastAsia="仿宋_GB2312"/>
                <w:szCs w:val="22"/>
                <w:lang w:val="en-US" w:eastAsia="zh-CN"/>
              </w:rPr>
              <w:t>商住</w:t>
            </w:r>
          </w:p>
        </w:tc>
      </w:tr>
      <w:tr w14:paraId="2561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790" w:type="dxa"/>
            <w:vAlign w:val="center"/>
          </w:tcPr>
          <w:p w14:paraId="05848109">
            <w:pPr>
              <w:jc w:val="center"/>
              <w:rPr>
                <w:rFonts w:ascii="仿宋_GB2312" w:eastAsia="仿宋_GB2312"/>
                <w:color w:val="000000"/>
                <w:szCs w:val="22"/>
              </w:rPr>
            </w:pPr>
            <w:r>
              <w:rPr>
                <w:rFonts w:hint="eastAsia" w:ascii="仿宋_GB2312" w:eastAsia="仿宋_GB2312"/>
                <w:color w:val="000000"/>
                <w:szCs w:val="22"/>
              </w:rPr>
              <w:t>不动</w:t>
            </w:r>
            <w:r>
              <w:rPr>
                <w:rFonts w:ascii="仿宋_GB2312" w:eastAsia="仿宋_GB2312"/>
                <w:color w:val="000000"/>
                <w:szCs w:val="22"/>
              </w:rPr>
              <w:t>产性质</w:t>
            </w:r>
          </w:p>
        </w:tc>
        <w:tc>
          <w:tcPr>
            <w:tcW w:w="3734" w:type="dxa"/>
            <w:vAlign w:val="center"/>
          </w:tcPr>
          <w:p w14:paraId="6EC28C06">
            <w:pPr>
              <w:jc w:val="center"/>
              <w:rPr>
                <w:rFonts w:ascii="仿宋_GB2312" w:eastAsia="仿宋_GB2312"/>
                <w:color w:val="000000"/>
                <w:szCs w:val="22"/>
              </w:rPr>
            </w:pPr>
            <w:r>
              <w:rPr>
                <w:rFonts w:hint="eastAsia" w:ascii="仿宋_GB2312" w:eastAsia="仿宋_GB2312"/>
                <w:color w:val="000000"/>
                <w:szCs w:val="22"/>
              </w:rPr>
              <w:t>市场</w:t>
            </w:r>
            <w:r>
              <w:rPr>
                <w:rFonts w:ascii="仿宋_GB2312" w:eastAsia="仿宋_GB2312"/>
                <w:color w:val="000000"/>
                <w:szCs w:val="22"/>
              </w:rPr>
              <w:t>化商品房</w:t>
            </w:r>
          </w:p>
        </w:tc>
        <w:tc>
          <w:tcPr>
            <w:tcW w:w="2000" w:type="dxa"/>
            <w:vAlign w:val="center"/>
          </w:tcPr>
          <w:p w14:paraId="22443329">
            <w:pPr>
              <w:jc w:val="center"/>
              <w:rPr>
                <w:rFonts w:ascii="仿宋_GB2312" w:eastAsia="仿宋_GB2312"/>
                <w:color w:val="000000"/>
                <w:szCs w:val="22"/>
              </w:rPr>
            </w:pPr>
            <w:r>
              <w:rPr>
                <w:rFonts w:hint="eastAsia" w:ascii="仿宋_GB2312" w:eastAsia="仿宋_GB2312"/>
                <w:color w:val="000000"/>
                <w:szCs w:val="22"/>
              </w:rPr>
              <w:t>使用期限</w:t>
            </w:r>
          </w:p>
        </w:tc>
        <w:tc>
          <w:tcPr>
            <w:tcW w:w="2716" w:type="dxa"/>
            <w:vAlign w:val="center"/>
          </w:tcPr>
          <w:p w14:paraId="152A5873">
            <w:pPr>
              <w:jc w:val="center"/>
              <w:rPr>
                <w:rFonts w:ascii="仿宋_GB2312" w:eastAsia="仿宋_GB2312"/>
                <w:color w:val="000000"/>
                <w:szCs w:val="22"/>
              </w:rPr>
            </w:pPr>
            <w:r>
              <w:rPr>
                <w:rFonts w:hint="eastAsia" w:ascii="仿宋_GB2312" w:eastAsia="仿宋_GB2312"/>
                <w:szCs w:val="22"/>
                <w:lang w:val="en-US" w:eastAsia="zh-CN"/>
              </w:rPr>
              <w:t>2070年01月13日止</w:t>
            </w:r>
          </w:p>
        </w:tc>
      </w:tr>
    </w:tbl>
    <w:p w14:paraId="7CFF852E">
      <w:pPr>
        <w:spacing w:line="360" w:lineRule="auto"/>
        <w:ind w:firstLine="560" w:firstLineChars="200"/>
        <w:rPr>
          <w:rFonts w:ascii="仿宋_GB2312" w:eastAsia="仿宋_GB2312"/>
          <w:color w:val="000000"/>
          <w:szCs w:val="22"/>
        </w:rPr>
      </w:pPr>
      <w:r>
        <w:rPr>
          <w:rFonts w:hint="eastAsia" w:ascii="仿宋_GB2312" w:eastAsia="仿宋_GB2312"/>
          <w:color w:val="000000"/>
          <w:szCs w:val="22"/>
        </w:rPr>
        <w:t>（三）实物状况</w:t>
      </w:r>
    </w:p>
    <w:p w14:paraId="07EA3D4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olor w:val="000000"/>
          <w:szCs w:val="22"/>
        </w:rPr>
      </w:pPr>
      <w:r>
        <w:rPr>
          <w:rFonts w:hint="eastAsia" w:ascii="仿宋_GB2312" w:eastAsia="仿宋_GB2312"/>
          <w:color w:val="000000"/>
          <w:szCs w:val="22"/>
          <w:lang w:val="en-US" w:eastAsia="zh-CN"/>
        </w:rPr>
        <w:t>本次评估市区美乐家园1#楼23号车库，框架结构，房屋现状为美乐家园小区北向沿街商铺，</w:t>
      </w:r>
      <w:r>
        <w:rPr>
          <w:rFonts w:hint="eastAsia" w:ascii="仿宋_GB2312" w:eastAsia="仿宋_GB2312"/>
          <w:b/>
          <w:bCs/>
          <w:color w:val="000000"/>
          <w:szCs w:val="22"/>
          <w:lang w:val="en-US" w:eastAsia="zh-CN"/>
        </w:rPr>
        <w:t>经改造与北侧美乐家园1#楼25、26号商业房打通相连接，</w:t>
      </w:r>
      <w:r>
        <w:rPr>
          <w:rFonts w:hint="eastAsia" w:ascii="仿宋_GB2312" w:eastAsia="仿宋_GB2312"/>
          <w:color w:val="000000"/>
          <w:szCs w:val="22"/>
          <w:lang w:val="en-US" w:eastAsia="zh-CN"/>
        </w:rPr>
        <w:t>现为光州西街内科诊所租赁，室内普通装修，地面瓷砖，墙面涂料，顶棚石膏板吊顶带灯具，铝合金门窗，带卷帘门，房间内带独立卫生间，水电齐全，外墙涂料，房屋竣工时间2002年</w:t>
      </w:r>
      <w:r>
        <w:rPr>
          <w:rFonts w:ascii="仿宋_GB2312" w:eastAsia="仿宋_GB2312"/>
          <w:color w:val="000000"/>
          <w:szCs w:val="22"/>
        </w:rPr>
        <w:t>。</w:t>
      </w:r>
    </w:p>
    <w:p w14:paraId="3F8AA3E9">
      <w:pPr>
        <w:spacing w:line="360" w:lineRule="auto"/>
        <w:ind w:firstLine="560" w:firstLineChars="200"/>
        <w:rPr>
          <w:rFonts w:ascii="仿宋_GB2312" w:eastAsia="仿宋_GB2312"/>
          <w:color w:val="000000"/>
          <w:szCs w:val="22"/>
        </w:rPr>
      </w:pPr>
      <w:r>
        <w:rPr>
          <w:rFonts w:hint="eastAsia" w:ascii="仿宋_GB2312" w:eastAsia="仿宋_GB2312"/>
          <w:color w:val="000000"/>
          <w:szCs w:val="22"/>
        </w:rPr>
        <w:t>（四）区位状况</w:t>
      </w:r>
    </w:p>
    <w:p w14:paraId="013B0E58">
      <w:pPr>
        <w:spacing w:line="360" w:lineRule="auto"/>
        <w:ind w:firstLine="560" w:firstLineChars="200"/>
        <w:rPr>
          <w:rFonts w:hint="eastAsia" w:ascii="仿宋_GB2312" w:eastAsia="仿宋_GB2312"/>
          <w:color w:val="000000"/>
          <w:szCs w:val="22"/>
        </w:rPr>
      </w:pPr>
      <w:r>
        <w:rPr>
          <w:rFonts w:hint="eastAsia" w:ascii="仿宋_GB2312" w:eastAsia="仿宋_GB2312"/>
          <w:color w:val="000000"/>
          <w:szCs w:val="22"/>
        </w:rPr>
        <w:t>估价对象为</w:t>
      </w:r>
      <w:r>
        <w:rPr>
          <w:rFonts w:hint="eastAsia" w:ascii="仿宋_GB2312" w:eastAsia="仿宋_GB2312"/>
          <w:color w:val="000000"/>
          <w:szCs w:val="22"/>
          <w:lang w:eastAsia="zh-CN"/>
        </w:rPr>
        <w:t>冯光海</w:t>
      </w:r>
      <w:r>
        <w:rPr>
          <w:rFonts w:hint="eastAsia" w:ascii="仿宋_GB2312" w:eastAsia="仿宋_GB2312"/>
          <w:color w:val="000000"/>
          <w:szCs w:val="22"/>
        </w:rPr>
        <w:t>位于</w:t>
      </w:r>
      <w:r>
        <w:rPr>
          <w:rFonts w:hint="eastAsia" w:ascii="仿宋_GB2312" w:eastAsia="仿宋_GB2312"/>
          <w:color w:val="000000"/>
          <w:szCs w:val="22"/>
          <w:lang w:val="en-US" w:eastAsia="zh-CN"/>
        </w:rPr>
        <w:t>市区美乐家园住宅小区</w:t>
      </w:r>
      <w:r>
        <w:rPr>
          <w:rFonts w:hint="eastAsia" w:ascii="仿宋_GB2312" w:eastAsia="仿宋_GB2312"/>
          <w:color w:val="000000"/>
          <w:szCs w:val="22"/>
        </w:rPr>
        <w:t>，周围市政基础设施已达到“七通一平”（通路、通电、通信、供水、排水、通暖、通气及场地平整）,</w:t>
      </w:r>
      <w:r>
        <w:rPr>
          <w:rFonts w:hint="eastAsia" w:ascii="仿宋_GB2312" w:eastAsia="仿宋_GB2312"/>
          <w:color w:val="000000"/>
          <w:szCs w:val="22"/>
          <w:lang w:val="en-US" w:eastAsia="zh-CN"/>
        </w:rPr>
        <w:t>东临莱州北路，北临文化西街，南临建新西街，西临光安街，</w:t>
      </w:r>
      <w:r>
        <w:rPr>
          <w:rFonts w:hint="eastAsia" w:ascii="仿宋_GB2312" w:eastAsia="仿宋_GB2312"/>
          <w:color w:val="000000"/>
          <w:szCs w:val="22"/>
        </w:rPr>
        <w:t>附近有</w:t>
      </w:r>
      <w:r>
        <w:rPr>
          <w:rFonts w:hint="eastAsia" w:ascii="仿宋_GB2312" w:eastAsia="仿宋_GB2312"/>
          <w:color w:val="000000"/>
          <w:szCs w:val="22"/>
          <w:lang w:val="en-US" w:eastAsia="zh-CN"/>
        </w:rPr>
        <w:t>光州</w:t>
      </w:r>
      <w:r>
        <w:rPr>
          <w:rFonts w:hint="eastAsia" w:ascii="仿宋_GB2312" w:eastAsia="仿宋_GB2312"/>
          <w:color w:val="000000"/>
          <w:szCs w:val="22"/>
        </w:rPr>
        <w:t>幼儿园、</w:t>
      </w:r>
      <w:r>
        <w:rPr>
          <w:rFonts w:hint="eastAsia" w:ascii="仿宋_GB2312" w:eastAsia="仿宋_GB2312"/>
          <w:color w:val="000000"/>
          <w:szCs w:val="22"/>
          <w:lang w:val="en-US" w:eastAsia="zh-CN"/>
        </w:rPr>
        <w:t>实验二</w:t>
      </w:r>
      <w:r>
        <w:rPr>
          <w:rFonts w:hint="eastAsia" w:ascii="仿宋_GB2312" w:eastAsia="仿宋_GB2312"/>
          <w:color w:val="000000"/>
          <w:szCs w:val="22"/>
        </w:rPr>
        <w:t>小、超市、饭店、</w:t>
      </w:r>
      <w:r>
        <w:rPr>
          <w:rFonts w:hint="eastAsia" w:ascii="仿宋_GB2312" w:eastAsia="仿宋_GB2312"/>
          <w:color w:val="000000"/>
          <w:szCs w:val="22"/>
          <w:lang w:val="en-US" w:eastAsia="zh-CN"/>
        </w:rPr>
        <w:t>中国</w:t>
      </w:r>
      <w:r>
        <w:rPr>
          <w:rFonts w:hint="eastAsia" w:ascii="仿宋_GB2312" w:eastAsia="仿宋_GB2312"/>
          <w:color w:val="000000"/>
          <w:szCs w:val="22"/>
        </w:rPr>
        <w:t>银行等生活配套设施，有公交车通过,所处区域基础设施完善,交通便利。</w:t>
      </w:r>
    </w:p>
    <w:p w14:paraId="05DA6265">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rPr>
        <w:t>莱州位于胶东半岛西北部，陆域面积1928平方公里，海域面积1690平方公里，海岸线108公里，辖17个镇街、1个省级经济开发区、1个省级旅游度假区、1个省级化工园区、962个行政村，常住人口82.5万，先后获得全国综合实力百强县、全国文明城市、国家卫生城市、中国工业百强县等20多项“国字号”城市名片</w:t>
      </w:r>
      <w:r>
        <w:rPr>
          <w:rFonts w:hint="eastAsia" w:ascii="仿宋_GB2312" w:eastAsia="仿宋_GB2312"/>
          <w:color w:val="000000"/>
          <w:szCs w:val="22"/>
          <w:lang w:eastAsia="zh-CN"/>
        </w:rPr>
        <w:t>。</w:t>
      </w:r>
    </w:p>
    <w:p w14:paraId="27024193">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lang w:eastAsia="zh-CN"/>
        </w:rPr>
        <w:t>莱州地处烟台、青岛、潍坊三市交界，融入黄河流域生态保护和高质量发展、胶东经济圈一体化发展等战略，具有独特的区位优势。潍烟高铁全面开</w:t>
      </w:r>
      <w:r>
        <w:rPr>
          <w:rFonts w:hint="eastAsia" w:ascii="仿宋_GB2312" w:eastAsia="仿宋_GB2312"/>
          <w:color w:val="000000"/>
          <w:szCs w:val="22"/>
          <w:lang w:val="en-US" w:eastAsia="zh-CN"/>
        </w:rPr>
        <w:t>通运行</w:t>
      </w:r>
      <w:r>
        <w:rPr>
          <w:rFonts w:hint="eastAsia" w:ascii="仿宋_GB2312" w:eastAsia="仿宋_GB2312"/>
          <w:color w:val="000000"/>
          <w:szCs w:val="22"/>
          <w:lang w:eastAsia="zh-CN"/>
        </w:rPr>
        <w:t>，大莱龙铁路扩能改造完成主体工程，青平莱城际铁路、莱青高速纳入省级规划，莱州港区疏港铁路项目纳入省重点基础设施项目。</w:t>
      </w:r>
    </w:p>
    <w:p w14:paraId="5BE11216">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lang w:eastAsia="zh-CN"/>
        </w:rPr>
        <w:t>城市更新方面，按照“提升主城区、突破城西区”的发展思路，加快城市更新步伐，推动城市向西向海发展，城市建成区面积54平方公里，常住人口城镇化率54.6%，城区公园广场40处。乡村振兴方面，乡村振兴基础设施提升项目全面启动，高标准推进美丽乡村建设和示范片打造，扎实开展农村人居环境“清底”行动，对城乡环卫一体化实行市级统一托管，全面提升公共服务水平。</w:t>
      </w:r>
    </w:p>
    <w:p w14:paraId="1AC6329B">
      <w:pPr>
        <w:spacing w:line="360" w:lineRule="auto"/>
        <w:rPr>
          <w:rFonts w:ascii="仿宋_GB2312" w:eastAsia="仿宋_GB2312"/>
          <w:color w:val="000000"/>
          <w:szCs w:val="22"/>
        </w:rPr>
      </w:pPr>
      <w:r>
        <w:rPr>
          <w:rFonts w:hint="eastAsia" w:ascii="仿宋_GB2312" w:eastAsia="仿宋_GB2312"/>
          <w:b/>
          <w:bCs/>
          <w:color w:val="000000"/>
        </w:rPr>
        <w:t>四、估价目的</w:t>
      </w:r>
      <w:r>
        <w:rPr>
          <w:rFonts w:hint="eastAsia" w:ascii="仿宋_GB2312" w:eastAsia="仿宋_GB2312"/>
          <w:color w:val="000000"/>
        </w:rPr>
        <w:t>：</w:t>
      </w:r>
      <w:r>
        <w:rPr>
          <w:rFonts w:hint="eastAsia" w:ascii="仿宋_GB2312" w:eastAsia="仿宋_GB2312"/>
          <w:color w:val="000000"/>
          <w:spacing w:val="-6"/>
          <w:szCs w:val="22"/>
          <w:lang w:val="en-US" w:eastAsia="zh-CN"/>
        </w:rPr>
        <w:t>评估房地产市场价值，</w:t>
      </w:r>
      <w:r>
        <w:rPr>
          <w:rFonts w:hint="eastAsia" w:ascii="仿宋_GB2312" w:eastAsia="仿宋_GB2312"/>
          <w:color w:val="000000"/>
          <w:szCs w:val="22"/>
        </w:rPr>
        <w:t>为人民法院确定财产处置参考价提供参考依据。</w:t>
      </w:r>
    </w:p>
    <w:p w14:paraId="130930E2">
      <w:pPr>
        <w:spacing w:line="360" w:lineRule="auto"/>
        <w:rPr>
          <w:rFonts w:hint="eastAsia" w:ascii="仿宋_GB2312" w:eastAsia="仿宋_GB2312"/>
          <w:color w:val="000000"/>
          <w:lang w:eastAsia="zh-CN"/>
        </w:rPr>
      </w:pPr>
      <w:r>
        <w:rPr>
          <w:rFonts w:hint="eastAsia" w:ascii="仿宋_GB2312" w:eastAsia="仿宋_GB2312"/>
          <w:b/>
          <w:bCs/>
          <w:color w:val="000000"/>
        </w:rPr>
        <w:t>五、价值时点</w:t>
      </w:r>
      <w:r>
        <w:rPr>
          <w:rFonts w:hint="eastAsia" w:ascii="仿宋_GB2312" w:eastAsia="仿宋_GB2312"/>
          <w:color w:val="000000"/>
        </w:rPr>
        <w:t>：</w:t>
      </w:r>
      <w:r>
        <w:rPr>
          <w:rFonts w:hint="eastAsia" w:ascii="仿宋_GB2312" w:eastAsia="仿宋_GB2312"/>
          <w:color w:val="000000"/>
          <w:lang w:eastAsia="zh-CN"/>
        </w:rPr>
        <w:t>二○二四年十一月一日</w:t>
      </w:r>
    </w:p>
    <w:p w14:paraId="721EB4C0">
      <w:pPr>
        <w:spacing w:line="360" w:lineRule="auto"/>
        <w:rPr>
          <w:rFonts w:ascii="仿宋_GB2312" w:eastAsia="仿宋_GB2312"/>
          <w:b/>
          <w:bCs/>
          <w:color w:val="000000"/>
        </w:rPr>
      </w:pPr>
      <w:r>
        <w:rPr>
          <w:rFonts w:hint="eastAsia" w:ascii="仿宋_GB2312" w:eastAsia="仿宋_GB2312"/>
          <w:b/>
          <w:bCs/>
          <w:color w:val="000000"/>
          <w:szCs w:val="22"/>
        </w:rPr>
        <w:t>六、价值类型及定义：</w:t>
      </w:r>
      <w:r>
        <w:rPr>
          <w:rFonts w:hint="eastAsia" w:ascii="仿宋_GB2312" w:eastAsia="仿宋_GB2312"/>
          <w:color w:val="000000"/>
        </w:rPr>
        <w:t>本次估价对象的估价结果为司法拍卖底价作参考依据，</w:t>
      </w:r>
      <w:r>
        <w:rPr>
          <w:rFonts w:hint="eastAsia" w:ascii="仿宋_GB2312" w:eastAsia="仿宋_GB2312"/>
          <w:color w:val="000000"/>
          <w:spacing w:val="-11"/>
          <w:szCs w:val="28"/>
        </w:rPr>
        <w:t>该价格为房地产市场价值，</w:t>
      </w:r>
      <w:r>
        <w:rPr>
          <w:rFonts w:hint="eastAsia" w:ascii="仿宋_GB2312" w:eastAsia="仿宋_GB2312"/>
          <w:color w:val="000000"/>
        </w:rPr>
        <w:t>是指在自愿买方与自愿卖方各自理性、谨慎行事，不受任何强迫压制的情况下，估价对象在估价基准日进行正常公平交易的</w:t>
      </w:r>
      <w:r>
        <w:rPr>
          <w:rFonts w:hint="eastAsia" w:ascii="仿宋_GB2312" w:eastAsia="仿宋_GB2312"/>
          <w:color w:val="000000"/>
          <w:lang w:val="en-US" w:eastAsia="zh-CN"/>
        </w:rPr>
        <w:t>价格</w:t>
      </w:r>
      <w:r>
        <w:rPr>
          <w:rFonts w:hint="eastAsia" w:ascii="仿宋_GB2312" w:eastAsia="仿宋_GB2312"/>
          <w:color w:val="000000"/>
          <w:spacing w:val="-11"/>
          <w:szCs w:val="28"/>
        </w:rPr>
        <w:t>，不考虑房地产被查封及房地产上原有的担保物权和其他优先受偿权。</w:t>
      </w:r>
    </w:p>
    <w:p w14:paraId="42BEB0D3">
      <w:pPr>
        <w:spacing w:line="360" w:lineRule="auto"/>
        <w:rPr>
          <w:rFonts w:hint="eastAsia" w:ascii="仿宋_GB2312" w:eastAsia="仿宋_GB2312"/>
          <w:b/>
          <w:bCs/>
          <w:color w:val="000000"/>
        </w:rPr>
      </w:pPr>
      <w:r>
        <w:rPr>
          <w:rFonts w:hint="eastAsia" w:ascii="仿宋_GB2312" w:eastAsia="仿宋_GB2312"/>
          <w:b/>
          <w:bCs/>
          <w:color w:val="000000"/>
        </w:rPr>
        <w:t>七、估价依据：</w:t>
      </w:r>
    </w:p>
    <w:p w14:paraId="4450084A">
      <w:pPr>
        <w:spacing w:line="360" w:lineRule="auto"/>
        <w:rPr>
          <w:rFonts w:hint="default"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一）本次估价所依据的有关法律、法规和部门规章：</w:t>
      </w:r>
    </w:p>
    <w:p w14:paraId="60171F28">
      <w:pPr>
        <w:spacing w:line="360" w:lineRule="auto"/>
        <w:ind w:firstLine="140" w:firstLineChars="50"/>
        <w:rPr>
          <w:rFonts w:hint="eastAsia" w:ascii="仿宋_GB2312" w:eastAsia="仿宋_GB2312"/>
          <w:color w:val="000000"/>
        </w:rPr>
      </w:pPr>
      <w:r>
        <w:rPr>
          <w:rFonts w:hint="eastAsia" w:ascii="仿宋_GB2312" w:eastAsia="仿宋_GB2312"/>
          <w:color w:val="000000"/>
        </w:rPr>
        <w:t>1．《中华人民共和国城市房地产管理法》（2019年8月26日第三次修正，自2020年1月1日起施行）；</w:t>
      </w:r>
    </w:p>
    <w:p w14:paraId="69F3106F">
      <w:pPr>
        <w:spacing w:line="360" w:lineRule="auto"/>
        <w:ind w:firstLine="140" w:firstLineChars="50"/>
        <w:rPr>
          <w:rFonts w:ascii="仿宋_GB2312" w:eastAsia="仿宋_GB2312"/>
          <w:color w:val="000000"/>
        </w:rPr>
      </w:pPr>
      <w:r>
        <w:rPr>
          <w:rFonts w:hint="eastAsia" w:ascii="仿宋_GB2312" w:eastAsia="仿宋_GB2312"/>
          <w:color w:val="000000"/>
        </w:rPr>
        <w:t>2．《房地产估价规范》（GB/T50281-2015）；</w:t>
      </w:r>
    </w:p>
    <w:p w14:paraId="2C1A036C">
      <w:pPr>
        <w:spacing w:line="360" w:lineRule="auto"/>
        <w:ind w:firstLine="140" w:firstLineChars="50"/>
        <w:rPr>
          <w:rFonts w:ascii="仿宋_GB2312" w:eastAsia="仿宋_GB2312"/>
          <w:color w:val="000000"/>
        </w:rPr>
      </w:pPr>
      <w:r>
        <w:rPr>
          <w:rFonts w:hint="eastAsia" w:ascii="仿宋_GB2312" w:eastAsia="仿宋_GB2312"/>
          <w:color w:val="000000"/>
        </w:rPr>
        <w:t>3. 《中华人民共和国民法典》（2020年5月28日中华人民共和国主席令第45号公布，自2021年1月1日起施行）；</w:t>
      </w:r>
    </w:p>
    <w:p w14:paraId="3F747D61">
      <w:pPr>
        <w:spacing w:line="360" w:lineRule="auto"/>
        <w:ind w:firstLine="140" w:firstLineChars="50"/>
        <w:rPr>
          <w:rFonts w:ascii="仿宋_GB2312" w:eastAsia="仿宋_GB2312"/>
          <w:color w:val="000000"/>
        </w:rPr>
      </w:pPr>
      <w:r>
        <w:rPr>
          <w:rFonts w:hint="eastAsia" w:ascii="仿宋_GB2312" w:eastAsia="仿宋_GB2312"/>
          <w:color w:val="000000"/>
        </w:rPr>
        <w:t>4. 《房地产估价基本术语标准》（GB/T50899-2013）；</w:t>
      </w:r>
    </w:p>
    <w:p w14:paraId="3207F9AB">
      <w:pPr>
        <w:spacing w:line="360" w:lineRule="auto"/>
        <w:ind w:firstLine="140" w:firstLineChars="50"/>
        <w:rPr>
          <w:rFonts w:ascii="仿宋_GB2312" w:eastAsia="仿宋_GB2312"/>
          <w:color w:val="000000"/>
        </w:rPr>
      </w:pPr>
      <w:r>
        <w:rPr>
          <w:rFonts w:hint="eastAsia" w:ascii="仿宋_GB2312" w:eastAsia="仿宋_GB2312"/>
          <w:color w:val="000000"/>
        </w:rPr>
        <w:t>5．《中华人民共和国土地管理法》（2019年8月26日第三次修正，自2020年1月1日起施行）；</w:t>
      </w:r>
    </w:p>
    <w:p w14:paraId="51F3D6F8">
      <w:pPr>
        <w:spacing w:line="360" w:lineRule="auto"/>
        <w:ind w:firstLine="140" w:firstLineChars="50"/>
        <w:rPr>
          <w:rFonts w:ascii="仿宋_GB2312" w:eastAsia="仿宋_GB2312"/>
          <w:color w:val="000000"/>
        </w:rPr>
      </w:pPr>
      <w:r>
        <w:rPr>
          <w:rFonts w:hint="eastAsia" w:ascii="仿宋_GB2312" w:eastAsia="仿宋_GB2312"/>
          <w:color w:val="000000"/>
        </w:rPr>
        <w:t>6．《中华人民共和国资产评估法》（2016年7月2日中华人民共和国主席令第46号公布，自2016年12月1日起施行）；</w:t>
      </w:r>
    </w:p>
    <w:p w14:paraId="64063133">
      <w:pPr>
        <w:spacing w:line="360" w:lineRule="auto"/>
        <w:ind w:firstLine="140" w:firstLineChars="50"/>
        <w:rPr>
          <w:rFonts w:ascii="仿宋_GB2312" w:eastAsia="仿宋_GB2312"/>
          <w:color w:val="000000"/>
        </w:rPr>
      </w:pPr>
      <w:r>
        <w:rPr>
          <w:rFonts w:hint="eastAsia" w:ascii="仿宋_GB2312" w:eastAsia="仿宋_GB2312"/>
          <w:color w:val="000000"/>
        </w:rPr>
        <w:t>7．《最高人民法院关于人民法院确定财产处置参考价若干问题的规定》（法释[2018]15号）；</w:t>
      </w:r>
    </w:p>
    <w:p w14:paraId="4FFB656F">
      <w:pPr>
        <w:spacing w:line="360" w:lineRule="auto"/>
        <w:ind w:firstLine="140" w:firstLineChars="50"/>
        <w:rPr>
          <w:rFonts w:hint="eastAsia" w:ascii="仿宋_GB2312" w:eastAsia="仿宋_GB2312"/>
          <w:color w:val="000000"/>
        </w:rPr>
      </w:pPr>
      <w:r>
        <w:rPr>
          <w:rFonts w:hint="eastAsia" w:ascii="仿宋_GB2312" w:eastAsia="仿宋_GB2312"/>
          <w:color w:val="000000"/>
        </w:rPr>
        <w:t>8．</w:t>
      </w:r>
      <w:r>
        <w:rPr>
          <w:rFonts w:hint="eastAsia" w:ascii="仿宋_GB2312" w:eastAsia="仿宋_GB2312"/>
          <w:color w:val="000000"/>
          <w:lang w:eastAsia="zh-CN"/>
        </w:rPr>
        <w:t>《</w:t>
      </w:r>
      <w:r>
        <w:rPr>
          <w:rFonts w:hint="eastAsia" w:ascii="仿宋_GB2312" w:eastAsia="仿宋_GB2312"/>
          <w:color w:val="000000"/>
        </w:rPr>
        <w:t>人民法院委托评估工作规范》（法办[2018]273号）。</w:t>
      </w:r>
    </w:p>
    <w:p w14:paraId="772A583F">
      <w:pPr>
        <w:spacing w:line="360" w:lineRule="auto"/>
        <w:ind w:firstLine="141" w:firstLineChars="50"/>
        <w:rPr>
          <w:rFonts w:hint="eastAsia" w:ascii="仿宋_GB2312" w:eastAsia="仿宋_GB2312"/>
          <w:b/>
          <w:bCs/>
          <w:color w:val="000000"/>
          <w:lang w:val="en-US" w:eastAsia="zh-CN"/>
        </w:rPr>
      </w:pPr>
      <w:r>
        <w:rPr>
          <w:rFonts w:hint="eastAsia" w:ascii="仿宋_GB2312" w:eastAsia="仿宋_GB2312"/>
          <w:b/>
          <w:bCs/>
          <w:color w:val="000000"/>
          <w:lang w:eastAsia="zh-CN"/>
        </w:rPr>
        <w:t>（</w:t>
      </w:r>
      <w:r>
        <w:rPr>
          <w:rFonts w:hint="eastAsia" w:ascii="仿宋_GB2312" w:eastAsia="仿宋_GB2312"/>
          <w:b/>
          <w:bCs/>
          <w:color w:val="000000"/>
          <w:lang w:val="en-US" w:eastAsia="zh-CN"/>
        </w:rPr>
        <w:t>二）本次估价采用的技术规程：</w:t>
      </w:r>
    </w:p>
    <w:p w14:paraId="24C59D57">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1、国家标准《房地产估价规范》GB/T50291-2015；</w:t>
      </w:r>
    </w:p>
    <w:p w14:paraId="22D95657">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2、国家标准《房地产估价基本术语标准》GB/T50899-2013；</w:t>
      </w:r>
    </w:p>
    <w:p w14:paraId="2A885893">
      <w:pPr>
        <w:spacing w:line="360" w:lineRule="auto"/>
        <w:ind w:firstLine="140" w:firstLineChars="50"/>
        <w:rPr>
          <w:rFonts w:hint="eastAsia" w:ascii="仿宋_GB2312" w:eastAsia="仿宋_GB2312"/>
          <w:b w:val="0"/>
          <w:bCs w:val="0"/>
          <w:color w:val="000000"/>
          <w:lang w:val="en-US" w:eastAsia="zh-CN"/>
        </w:rPr>
      </w:pPr>
      <w:r>
        <w:rPr>
          <w:rFonts w:hint="default" w:ascii="仿宋_GB2312" w:eastAsia="仿宋_GB2312"/>
          <w:b w:val="0"/>
          <w:bCs w:val="0"/>
          <w:color w:val="000000"/>
          <w:lang w:val="en-US" w:eastAsia="zh-CN"/>
        </w:rPr>
        <w:t>3、《涉执房地产处置司法评估指导意见（试行）》中房学[2021]37号</w:t>
      </w:r>
      <w:r>
        <w:rPr>
          <w:rFonts w:hint="eastAsia" w:ascii="仿宋_GB2312" w:eastAsia="仿宋_GB2312"/>
          <w:b w:val="0"/>
          <w:bCs w:val="0"/>
          <w:color w:val="000000"/>
          <w:lang w:val="en-US" w:eastAsia="zh-CN"/>
        </w:rPr>
        <w:t>。</w:t>
      </w:r>
    </w:p>
    <w:p w14:paraId="3C76035C">
      <w:pPr>
        <w:spacing w:line="360" w:lineRule="auto"/>
        <w:ind w:firstLine="141" w:firstLineChars="50"/>
        <w:rPr>
          <w:rFonts w:hint="eastAsia" w:ascii="仿宋_GB2312" w:eastAsia="仿宋_GB2312"/>
          <w:b/>
          <w:bCs/>
          <w:color w:val="000000"/>
          <w:lang w:val="en-US" w:eastAsia="zh-CN"/>
        </w:rPr>
      </w:pPr>
      <w:r>
        <w:rPr>
          <w:rFonts w:hint="eastAsia" w:ascii="仿宋_GB2312" w:eastAsia="仿宋_GB2312"/>
          <w:b/>
          <w:bCs/>
          <w:color w:val="000000"/>
          <w:lang w:val="en-US" w:eastAsia="zh-CN"/>
        </w:rPr>
        <w:t>（三）委托人提供的有关资料：</w:t>
      </w:r>
    </w:p>
    <w:p w14:paraId="3246589E">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1、《莱州市人民法院委托书》（2024）鲁0683执</w:t>
      </w:r>
      <w:r>
        <w:rPr>
          <w:rFonts w:hint="eastAsia" w:ascii="仿宋_GB2312" w:eastAsia="仿宋_GB2312"/>
          <w:b w:val="0"/>
          <w:bCs w:val="0"/>
          <w:color w:val="000000"/>
          <w:lang w:val="en-US" w:eastAsia="zh-CN"/>
        </w:rPr>
        <w:t>恢1513</w:t>
      </w:r>
      <w:r>
        <w:rPr>
          <w:rFonts w:hint="default" w:ascii="仿宋_GB2312" w:eastAsia="仿宋_GB2312"/>
          <w:b w:val="0"/>
          <w:bCs w:val="0"/>
          <w:color w:val="000000"/>
          <w:lang w:val="en-US" w:eastAsia="zh-CN"/>
        </w:rPr>
        <w:t>号；</w:t>
      </w:r>
    </w:p>
    <w:p w14:paraId="6B17FB3F">
      <w:pPr>
        <w:spacing w:line="360" w:lineRule="auto"/>
        <w:ind w:firstLine="140" w:firstLineChars="50"/>
        <w:rPr>
          <w:rFonts w:hint="default" w:ascii="仿宋_GB2312" w:eastAsia="仿宋_GB2312"/>
          <w:b w:val="0"/>
          <w:bCs w:val="0"/>
          <w:color w:val="000000"/>
          <w:lang w:val="en-US" w:eastAsia="zh-CN"/>
        </w:rPr>
      </w:pPr>
      <w:r>
        <w:rPr>
          <w:rFonts w:hint="default" w:ascii="仿宋_GB2312" w:eastAsia="仿宋_GB2312"/>
          <w:b w:val="0"/>
          <w:bCs w:val="0"/>
          <w:color w:val="000000"/>
          <w:lang w:val="en-US" w:eastAsia="zh-CN"/>
        </w:rPr>
        <w:t>2、不动产权证书复印件；</w:t>
      </w:r>
    </w:p>
    <w:p w14:paraId="7E8BAE38">
      <w:pPr>
        <w:spacing w:line="360" w:lineRule="auto"/>
        <w:ind w:firstLine="140" w:firstLineChars="50"/>
        <w:rPr>
          <w:rFonts w:hint="default" w:ascii="仿宋_GB2312" w:eastAsia="仿宋_GB2312"/>
          <w:b w:val="0"/>
          <w:bCs w:val="0"/>
          <w:color w:val="000000"/>
          <w:lang w:val="en-US" w:eastAsia="zh-CN"/>
        </w:rPr>
      </w:pPr>
      <w:r>
        <w:rPr>
          <w:rFonts w:hint="eastAsia" w:ascii="仿宋_GB2312" w:eastAsia="仿宋_GB2312"/>
          <w:b w:val="0"/>
          <w:bCs w:val="0"/>
          <w:color w:val="000000"/>
          <w:lang w:val="en-US" w:eastAsia="zh-CN"/>
        </w:rPr>
        <w:t>3</w:t>
      </w:r>
      <w:r>
        <w:rPr>
          <w:rFonts w:hint="default" w:ascii="仿宋_GB2312" w:eastAsia="仿宋_GB2312"/>
          <w:b w:val="0"/>
          <w:bCs w:val="0"/>
          <w:color w:val="000000"/>
          <w:lang w:val="en-US" w:eastAsia="zh-CN"/>
        </w:rPr>
        <w:t>、不动产登记信息查询结果复印件。</w:t>
      </w:r>
    </w:p>
    <w:p w14:paraId="520D10C4">
      <w:pPr>
        <w:spacing w:line="360" w:lineRule="auto"/>
        <w:ind w:firstLine="141" w:firstLineChars="50"/>
        <w:rPr>
          <w:rFonts w:hint="default" w:ascii="仿宋_GB2312" w:eastAsia="仿宋_GB2312"/>
          <w:b/>
          <w:bCs/>
          <w:color w:val="000000"/>
          <w:lang w:val="en-US" w:eastAsia="zh-CN"/>
        </w:rPr>
      </w:pPr>
      <w:r>
        <w:rPr>
          <w:rFonts w:hint="eastAsia" w:ascii="仿宋_GB2312" w:eastAsia="仿宋_GB2312"/>
          <w:b/>
          <w:bCs/>
          <w:color w:val="000000"/>
          <w:lang w:val="en-US" w:eastAsia="zh-CN"/>
        </w:rPr>
        <w:t>（四）估价人员现场查勘和市场调查所获得的有关资料。</w:t>
      </w:r>
    </w:p>
    <w:p w14:paraId="7ACB56DE">
      <w:pPr>
        <w:tabs>
          <w:tab w:val="left" w:pos="3083"/>
        </w:tabs>
        <w:spacing w:line="360" w:lineRule="auto"/>
        <w:rPr>
          <w:rFonts w:ascii="仿宋_GB2312" w:eastAsia="仿宋_GB2312"/>
          <w:b/>
          <w:bCs/>
          <w:color w:val="000000"/>
        </w:rPr>
      </w:pPr>
      <w:r>
        <w:rPr>
          <w:rFonts w:hint="eastAsia" w:ascii="仿宋_GB2312" w:eastAsia="仿宋_GB2312"/>
          <w:b/>
          <w:bCs/>
          <w:color w:val="000000"/>
        </w:rPr>
        <w:t>八、估价原则：</w:t>
      </w:r>
      <w:r>
        <w:rPr>
          <w:rFonts w:hint="eastAsia" w:ascii="仿宋_GB2312" w:eastAsia="仿宋_GB2312"/>
          <w:b/>
          <w:bCs/>
          <w:color w:val="000000"/>
        </w:rPr>
        <w:tab/>
      </w:r>
    </w:p>
    <w:p w14:paraId="5105721E">
      <w:pPr>
        <w:spacing w:line="360" w:lineRule="auto"/>
        <w:ind w:firstLine="420" w:firstLineChars="150"/>
        <w:rPr>
          <w:rFonts w:ascii="仿宋_GB2312" w:eastAsia="仿宋_GB2312"/>
          <w:color w:val="000000"/>
        </w:rPr>
      </w:pPr>
      <w:r>
        <w:rPr>
          <w:rFonts w:hint="eastAsia" w:ascii="仿宋_GB2312" w:eastAsia="仿宋_GB2312"/>
          <w:color w:val="000000"/>
        </w:rPr>
        <w:t>1．独立、客观、公正原则：要求估价机构有完全独立性，估价机构和估价人员与估价对象及相关当事人没有利害关系，不受外部干扰因素影响，从实际出发，公平合理地进行估价。</w:t>
      </w:r>
    </w:p>
    <w:p w14:paraId="494F42D3">
      <w:pPr>
        <w:spacing w:line="360" w:lineRule="auto"/>
        <w:ind w:firstLine="420" w:firstLineChars="150"/>
        <w:rPr>
          <w:rFonts w:ascii="仿宋_GB2312" w:eastAsia="仿宋_GB2312"/>
          <w:color w:val="000000"/>
        </w:rPr>
      </w:pPr>
      <w:r>
        <w:rPr>
          <w:rFonts w:hint="eastAsia" w:ascii="仿宋_GB2312" w:eastAsia="仿宋_GB2312"/>
          <w:color w:val="000000"/>
        </w:rPr>
        <w:t>2．合法原则：房地产估价应以估价对象的合法使用、合法处分为前提估价。本报告遵循这一原则。</w:t>
      </w:r>
    </w:p>
    <w:p w14:paraId="46DC29B9">
      <w:pPr>
        <w:spacing w:line="360" w:lineRule="auto"/>
        <w:ind w:firstLine="420" w:firstLineChars="150"/>
        <w:rPr>
          <w:rFonts w:ascii="仿宋_GB2312" w:eastAsia="仿宋_GB2312"/>
          <w:color w:val="000000"/>
        </w:rPr>
      </w:pPr>
      <w:r>
        <w:rPr>
          <w:rFonts w:hint="eastAsia" w:ascii="仿宋_GB2312" w:eastAsia="仿宋_GB2312"/>
          <w:color w:val="000000"/>
        </w:rPr>
        <w:t>3．价值时点原则：房地产市场是一个动态市场，房地产价格反映的是某一时点的价格。时点不同，相同的房地产价格会有所不同，即强调时间的相关性和时效性，故本次遵循价值时点原则。</w:t>
      </w:r>
    </w:p>
    <w:p w14:paraId="0299F8AD">
      <w:pPr>
        <w:spacing w:line="360" w:lineRule="auto"/>
        <w:ind w:firstLine="420" w:firstLineChars="150"/>
        <w:rPr>
          <w:rFonts w:ascii="仿宋_GB2312" w:eastAsia="仿宋_GB2312"/>
          <w:color w:val="000000"/>
        </w:rPr>
      </w:pPr>
      <w:r>
        <w:rPr>
          <w:rFonts w:hint="eastAsia" w:ascii="仿宋_GB2312" w:eastAsia="仿宋_GB2312"/>
          <w:color w:val="000000"/>
        </w:rPr>
        <w:t>4．最高最佳使用原则：要求估价结果是在估价对象最高最佳利用状况下的价值或价格的原则。最高最佳利用，指房地产在法律上允许、技术上可能、财务上可行并使价值最大的合理、可行的利用，包括最佳用途、规模、档次。</w:t>
      </w:r>
    </w:p>
    <w:p w14:paraId="07B8FF7A">
      <w:pPr>
        <w:spacing w:line="360" w:lineRule="auto"/>
        <w:ind w:firstLine="420" w:firstLineChars="150"/>
        <w:rPr>
          <w:rFonts w:ascii="仿宋_GB2312" w:eastAsia="仿宋_GB2312"/>
          <w:color w:val="000000"/>
        </w:rPr>
      </w:pPr>
      <w:r>
        <w:rPr>
          <w:rFonts w:hint="eastAsia" w:ascii="仿宋_GB2312" w:eastAsia="仿宋_GB2312"/>
          <w:color w:val="000000"/>
        </w:rPr>
        <w:t>5．替代原则：在同一市场中具有相近效用的房地产，其价格应当相近。即在估价一宗房地产价格时，如若附近地区或相似区域内有若干效用相近的房地产价格存在，则可以依据“替代原理”推断出估价对象的价格。本次估价遵循这一原则。</w:t>
      </w:r>
    </w:p>
    <w:p w14:paraId="3AEB2AB6">
      <w:pPr>
        <w:spacing w:line="360" w:lineRule="auto"/>
        <w:rPr>
          <w:rFonts w:ascii="仿宋_GB2312" w:eastAsia="仿宋_GB2312"/>
          <w:b/>
          <w:bCs/>
          <w:color w:val="000000"/>
        </w:rPr>
      </w:pPr>
      <w:r>
        <w:rPr>
          <w:rFonts w:hint="eastAsia" w:ascii="仿宋_GB2312" w:eastAsia="仿宋_GB2312"/>
          <w:b/>
          <w:bCs/>
          <w:color w:val="000000"/>
        </w:rPr>
        <w:t>九、估价方法：</w:t>
      </w:r>
    </w:p>
    <w:p w14:paraId="2BD71DB3">
      <w:pPr>
        <w:spacing w:line="360" w:lineRule="auto"/>
        <w:ind w:firstLine="560" w:firstLineChars="200"/>
        <w:rPr>
          <w:rFonts w:hint="eastAsia" w:ascii="仿宋_GB2312" w:eastAsia="仿宋_GB2312"/>
          <w:color w:val="000000"/>
        </w:rPr>
      </w:pPr>
      <w:r>
        <w:rPr>
          <w:rFonts w:hint="eastAsia" w:ascii="仿宋_GB2312" w:eastAsia="仿宋_GB2312"/>
          <w:color w:val="000000"/>
        </w:rPr>
        <w:t>根据《房地产估价规范》，房地产估价的方法主要有比较法、成本法、收益法、假设开发法以及这些估价方法的综合运用。</w:t>
      </w:r>
    </w:p>
    <w:p w14:paraId="0AC66182">
      <w:pPr>
        <w:spacing w:line="360" w:lineRule="auto"/>
        <w:ind w:firstLine="560" w:firstLineChars="200"/>
        <w:rPr>
          <w:rFonts w:hint="eastAsia" w:ascii="仿宋_GB2312" w:eastAsia="仿宋_GB2312"/>
          <w:color w:val="000000"/>
        </w:rPr>
      </w:pPr>
      <w:r>
        <w:rPr>
          <w:rFonts w:hint="eastAsia" w:ascii="仿宋_GB2312" w:eastAsia="仿宋_GB2312"/>
          <w:color w:val="000000"/>
        </w:rPr>
        <w:t>比较法：选取一定数量的可比实例，将它们与估价对象进行比较，根据其间的差异对可比实例成交价格进行处理后得到估价对象价值或价格的方法。同一供需圈内，与估价对象结构、用途均相同的市场交易案例较多，交易价格客观合理，可以采用比较法求取估价对象的价值。</w:t>
      </w:r>
    </w:p>
    <w:p w14:paraId="079624B9">
      <w:pPr>
        <w:spacing w:line="360" w:lineRule="auto"/>
        <w:ind w:firstLine="560" w:firstLineChars="200"/>
        <w:rPr>
          <w:rFonts w:hint="eastAsia" w:ascii="仿宋_GB2312" w:eastAsia="仿宋_GB2312"/>
          <w:color w:val="000000"/>
        </w:rPr>
      </w:pPr>
      <w:r>
        <w:rPr>
          <w:rFonts w:hint="eastAsia" w:ascii="仿宋_GB2312" w:eastAsia="仿宋_GB2312"/>
          <w:color w:val="000000"/>
        </w:rPr>
        <w:t>收益法：预测估价对象的未来收益，利用报酬率或资本化率、收益乘数将未来收益转换为价值得到估价对象价值或价格的方法。估价对象用途为住宅，属收益性物业，所在区域的住宅房地产租赁活动兴旺，出租案例较容易取得，且相关收益参数均可确定，宜采用收益法进行评估。</w:t>
      </w:r>
    </w:p>
    <w:p w14:paraId="054CBC9E">
      <w:pPr>
        <w:spacing w:line="360" w:lineRule="auto"/>
        <w:ind w:firstLine="560" w:firstLineChars="200"/>
        <w:rPr>
          <w:rFonts w:hint="eastAsia" w:ascii="仿宋_GB2312" w:eastAsia="仿宋_GB2312"/>
          <w:color w:val="000000"/>
        </w:rPr>
      </w:pPr>
      <w:r>
        <w:rPr>
          <w:rFonts w:hint="eastAsia" w:ascii="仿宋_GB2312" w:eastAsia="仿宋_GB2312"/>
          <w:color w:val="000000"/>
        </w:rPr>
        <w:t>成本法：测算估价对象在价值时点的重置成本或重建成本和折旧，将重置成本或重建成本减去折旧得到估价对象价值或价格的方法。估价对象用途为住宅，房地产价格与成本关联性弱，房地产开发成本不能准确反映房地产的实际市场价值，故不宜采用成本法进行估价。</w:t>
      </w:r>
    </w:p>
    <w:p w14:paraId="0914446D">
      <w:pPr>
        <w:spacing w:line="360" w:lineRule="auto"/>
        <w:ind w:firstLine="560" w:firstLineChars="200"/>
        <w:rPr>
          <w:rFonts w:hint="eastAsia" w:ascii="仿宋_GB2312" w:eastAsia="仿宋_GB2312"/>
          <w:color w:val="000000"/>
        </w:rPr>
      </w:pPr>
      <w:r>
        <w:rPr>
          <w:rFonts w:hint="eastAsia" w:ascii="仿宋_GB2312" w:eastAsia="仿宋_GB2312"/>
          <w:color w:val="000000"/>
        </w:rPr>
        <w:t>假设开发法：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估价对象为已建成正常使用的房地产，非拟建、在建工程，不宜采用假设开发法进行估价。</w:t>
      </w:r>
    </w:p>
    <w:p w14:paraId="394F6BAD">
      <w:pPr>
        <w:spacing w:line="360" w:lineRule="auto"/>
        <w:ind w:firstLine="560" w:firstLineChars="200"/>
        <w:rPr>
          <w:rFonts w:hint="eastAsia" w:ascii="仿宋_GB2312" w:eastAsia="仿宋_GB2312"/>
          <w:color w:val="000000"/>
        </w:rPr>
      </w:pPr>
      <w:r>
        <w:rPr>
          <w:rFonts w:hint="eastAsia" w:ascii="仿宋_GB2312" w:eastAsia="仿宋_GB2312"/>
          <w:color w:val="000000"/>
        </w:rPr>
        <w:t>综上所述，本次估价采用比较法、收益法对估价对象进行评估。</w:t>
      </w:r>
    </w:p>
    <w:p w14:paraId="506845F0">
      <w:pPr>
        <w:spacing w:line="360" w:lineRule="auto"/>
        <w:ind w:firstLine="560" w:firstLineChars="200"/>
        <w:rPr>
          <w:rFonts w:hint="eastAsia" w:ascii="仿宋_GB2312" w:eastAsia="仿宋_GB2312"/>
          <w:color w:val="000000"/>
        </w:rPr>
      </w:pPr>
      <w:r>
        <w:rPr>
          <w:rFonts w:hint="eastAsia" w:ascii="仿宋_GB2312" w:eastAsia="仿宋_GB2312"/>
          <w:color w:val="000000"/>
        </w:rPr>
        <w:t>（二）估价技术路线</w:t>
      </w:r>
    </w:p>
    <w:p w14:paraId="0B1776B7">
      <w:pPr>
        <w:spacing w:line="360" w:lineRule="auto"/>
        <w:ind w:firstLine="560" w:firstLineChars="200"/>
        <w:rPr>
          <w:rFonts w:hint="eastAsia" w:ascii="仿宋_GB2312" w:eastAsia="仿宋_GB2312"/>
          <w:color w:val="000000"/>
        </w:rPr>
      </w:pPr>
      <w:r>
        <w:rPr>
          <w:rFonts w:hint="eastAsia" w:ascii="仿宋_GB2312" w:eastAsia="仿宋_GB2312"/>
          <w:color w:val="000000"/>
        </w:rPr>
        <w:t>1、运用比较法测算估价对象比较价值</w:t>
      </w:r>
    </w:p>
    <w:p w14:paraId="33490EE4">
      <w:pPr>
        <w:spacing w:line="360" w:lineRule="auto"/>
        <w:ind w:firstLine="560" w:firstLineChars="200"/>
        <w:rPr>
          <w:rFonts w:hint="eastAsia" w:ascii="仿宋_GB2312" w:eastAsia="仿宋_GB2312"/>
          <w:color w:val="000000"/>
        </w:rPr>
      </w:pPr>
      <w:r>
        <w:rPr>
          <w:rFonts w:hint="eastAsia" w:ascii="仿宋_GB2312" w:eastAsia="仿宋_GB2312"/>
          <w:color w:val="000000"/>
        </w:rPr>
        <w:t>2、运用收益法测算估价对象收益价值</w:t>
      </w:r>
    </w:p>
    <w:p w14:paraId="6962DFD6">
      <w:pPr>
        <w:spacing w:line="360" w:lineRule="auto"/>
        <w:ind w:firstLine="560" w:firstLineChars="200"/>
        <w:rPr>
          <w:rFonts w:hint="eastAsia" w:ascii="仿宋_GB2312" w:eastAsia="仿宋_GB2312"/>
          <w:color w:val="000000"/>
        </w:rPr>
      </w:pPr>
      <w:r>
        <w:rPr>
          <w:rFonts w:hint="eastAsia" w:ascii="仿宋_GB2312" w:eastAsia="仿宋_GB2312"/>
          <w:color w:val="000000"/>
        </w:rPr>
        <w:t>3、综合分析确定最终估价结果</w:t>
      </w:r>
    </w:p>
    <w:p w14:paraId="5AE3AB27">
      <w:pPr>
        <w:spacing w:line="360" w:lineRule="auto"/>
        <w:ind w:firstLine="560" w:firstLineChars="200"/>
        <w:rPr>
          <w:rFonts w:hint="eastAsia" w:ascii="仿宋_GB2312" w:eastAsia="仿宋_GB2312"/>
          <w:color w:val="000000"/>
        </w:rPr>
      </w:pPr>
      <w:r>
        <w:rPr>
          <w:rFonts w:hint="eastAsia" w:ascii="仿宋_GB2312" w:eastAsia="仿宋_GB2312"/>
          <w:color w:val="000000"/>
        </w:rPr>
        <w:t>通过两种不同的技术路径，分别得到估价对象的评估单价，经分析两种方法结果的差异及导致差异的原因后，结合当前同类市场实际和估价对象状况，分别确定两种方法结果的影响权重，最后确定估价对象的市场价值单价和总价。</w:t>
      </w:r>
    </w:p>
    <w:p w14:paraId="3CDEAF3D">
      <w:pPr>
        <w:spacing w:line="360" w:lineRule="auto"/>
        <w:ind w:firstLine="560" w:firstLineChars="200"/>
        <w:rPr>
          <w:rFonts w:hint="eastAsia" w:ascii="仿宋_GB2312" w:eastAsia="仿宋_GB2312"/>
          <w:color w:val="000000"/>
        </w:rPr>
      </w:pPr>
      <w:r>
        <w:rPr>
          <w:rFonts w:hint="eastAsia" w:ascii="仿宋_GB2312" w:eastAsia="仿宋_GB2312"/>
          <w:color w:val="000000"/>
        </w:rPr>
        <w:t>评估单价=比较单价*权重1+收益单价*权重2</w:t>
      </w:r>
    </w:p>
    <w:p w14:paraId="0A19F811">
      <w:pPr>
        <w:spacing w:line="360" w:lineRule="auto"/>
        <w:ind w:firstLine="560" w:firstLineChars="200"/>
        <w:rPr>
          <w:rFonts w:hint="default" w:ascii="仿宋_GB2312" w:eastAsia="仿宋_GB2312"/>
          <w:b/>
          <w:bCs/>
          <w:color w:val="000000"/>
          <w:lang w:val="en-US" w:eastAsia="zh-CN"/>
        </w:rPr>
      </w:pPr>
      <w:r>
        <w:rPr>
          <w:rFonts w:hint="eastAsia" w:ascii="仿宋_GB2312" w:eastAsia="仿宋_GB2312"/>
          <w:color w:val="000000"/>
        </w:rPr>
        <w:t>评估总价=评估单价*建筑面积。</w:t>
      </w:r>
    </w:p>
    <w:p w14:paraId="1A2068A5">
      <w:pPr>
        <w:spacing w:line="360" w:lineRule="auto"/>
        <w:rPr>
          <w:rFonts w:ascii="仿宋_GB2312" w:eastAsia="仿宋_GB2312"/>
          <w:b/>
          <w:bCs/>
          <w:szCs w:val="22"/>
        </w:rPr>
      </w:pPr>
      <w:r>
        <w:rPr>
          <w:rFonts w:hint="eastAsia" w:ascii="仿宋_GB2312" w:eastAsia="仿宋_GB2312"/>
          <w:b/>
          <w:bCs/>
          <w:szCs w:val="22"/>
        </w:rPr>
        <w:t xml:space="preserve">十、估价结果：    </w:t>
      </w:r>
    </w:p>
    <w:p w14:paraId="66318D88">
      <w:pPr>
        <w:spacing w:line="360" w:lineRule="auto"/>
        <w:ind w:firstLine="536" w:firstLineChars="200"/>
        <w:rPr>
          <w:rFonts w:hint="default" w:ascii="仿宋_GB2312" w:eastAsia="仿宋_GB2312"/>
          <w:b/>
          <w:bCs/>
          <w:color w:val="000000"/>
          <w:spacing w:val="-6"/>
          <w:szCs w:val="22"/>
          <w:lang w:val="en-US" w:eastAsia="zh-CN"/>
        </w:rPr>
      </w:pPr>
      <w:r>
        <w:rPr>
          <w:rFonts w:hint="eastAsia" w:ascii="仿宋_GB2312" w:eastAsia="仿宋_GB2312"/>
          <w:spacing w:val="-6"/>
          <w:szCs w:val="22"/>
        </w:rPr>
        <w:t>评估人员根据估价目的，遵循估价原则，按照估价工作程序，采用合理的估价方法，在认真分析现有资料的基础上，经过准确测算确定</w:t>
      </w:r>
      <w:r>
        <w:rPr>
          <w:rFonts w:hint="eastAsia" w:ascii="仿宋_GB2312" w:eastAsia="仿宋_GB2312"/>
          <w:b/>
          <w:bCs/>
          <w:spacing w:val="-6"/>
          <w:szCs w:val="22"/>
          <w:lang w:eastAsia="zh-CN"/>
        </w:rPr>
        <w:t>冯光海</w:t>
      </w:r>
      <w:r>
        <w:rPr>
          <w:rFonts w:hint="eastAsia" w:ascii="仿宋_GB2312" w:eastAsia="仿宋_GB2312"/>
          <w:b/>
          <w:bCs/>
          <w:spacing w:val="-6"/>
          <w:szCs w:val="22"/>
        </w:rPr>
        <w:t>所属房地产在价值时点的</w:t>
      </w:r>
      <w:r>
        <w:rPr>
          <w:rFonts w:hint="eastAsia" w:ascii="仿宋_GB2312" w:eastAsia="仿宋_GB2312"/>
          <w:b/>
          <w:bCs/>
          <w:spacing w:val="-6"/>
          <w:szCs w:val="22"/>
          <w:lang w:val="en-US" w:eastAsia="zh-CN"/>
        </w:rPr>
        <w:t>市场</w:t>
      </w:r>
      <w:r>
        <w:rPr>
          <w:rFonts w:hint="eastAsia" w:ascii="仿宋_GB2312" w:eastAsia="仿宋_GB2312"/>
          <w:b/>
          <w:bCs/>
          <w:spacing w:val="-6"/>
          <w:szCs w:val="22"/>
        </w:rPr>
        <w:t>价值</w:t>
      </w:r>
      <w:bookmarkStart w:id="2" w:name="_Hlk75532383"/>
      <w:r>
        <w:rPr>
          <w:rFonts w:hint="eastAsia" w:ascii="仿宋_GB2312" w:eastAsia="仿宋_GB2312"/>
          <w:b/>
          <w:bCs/>
          <w:spacing w:val="-6"/>
          <w:szCs w:val="22"/>
        </w:rPr>
        <w:t>为￥</w:t>
      </w:r>
      <w:bookmarkEnd w:id="2"/>
      <w:r>
        <w:rPr>
          <w:rFonts w:hint="eastAsia" w:ascii="仿宋_GB2312" w:eastAsia="仿宋_GB2312"/>
          <w:b/>
          <w:bCs/>
          <w:spacing w:val="-6"/>
          <w:szCs w:val="22"/>
        </w:rPr>
        <w:t>141608元，人民币（大写）</w:t>
      </w:r>
      <w:r>
        <w:rPr>
          <w:rFonts w:hint="eastAsia" w:ascii="仿宋_GB2312" w:eastAsia="仿宋_GB2312"/>
          <w:b/>
          <w:bCs/>
          <w:spacing w:val="-6"/>
          <w:szCs w:val="22"/>
          <w:lang w:val="en-US" w:eastAsia="zh-CN"/>
        </w:rPr>
        <w:t>壹拾肆万壹仟陆佰零捌元</w:t>
      </w:r>
      <w:r>
        <w:rPr>
          <w:rFonts w:hint="eastAsia" w:ascii="仿宋_GB2312" w:eastAsia="仿宋_GB2312"/>
          <w:b/>
          <w:bCs/>
          <w:spacing w:val="-6"/>
          <w:szCs w:val="22"/>
        </w:rPr>
        <w:t>整</w:t>
      </w:r>
      <w:r>
        <w:rPr>
          <w:rFonts w:hint="eastAsia" w:ascii="仿宋_GB2312" w:eastAsia="仿宋_GB2312"/>
          <w:b/>
          <w:bCs/>
          <w:color w:val="000000"/>
          <w:spacing w:val="-6"/>
          <w:szCs w:val="22"/>
        </w:rPr>
        <w:t>。</w:t>
      </w:r>
      <w:r>
        <w:rPr>
          <w:rFonts w:hint="eastAsia" w:ascii="仿宋_GB2312" w:eastAsia="仿宋_GB2312"/>
          <w:b/>
          <w:bCs/>
          <w:color w:val="000000"/>
          <w:spacing w:val="-6"/>
          <w:szCs w:val="22"/>
          <w:lang w:eastAsia="zh-CN"/>
        </w:rPr>
        <w:t>（</w:t>
      </w:r>
      <w:r>
        <w:rPr>
          <w:rFonts w:hint="eastAsia" w:ascii="仿宋_GB2312" w:eastAsia="仿宋_GB2312"/>
          <w:b/>
          <w:bCs/>
          <w:color w:val="000000"/>
          <w:spacing w:val="-6"/>
          <w:szCs w:val="22"/>
          <w:lang w:val="en-US" w:eastAsia="zh-CN"/>
        </w:rPr>
        <w:t>详见评估明细表）</w:t>
      </w:r>
    </w:p>
    <w:p w14:paraId="4C282BF8">
      <w:pPr>
        <w:spacing w:line="360" w:lineRule="auto"/>
        <w:ind w:firstLine="536" w:firstLineChars="200"/>
        <w:rPr>
          <w:rFonts w:ascii="仿宋_GB2312" w:eastAsia="仿宋_GB2312"/>
          <w:b/>
          <w:bCs/>
          <w:color w:val="000000"/>
          <w:spacing w:val="-6"/>
          <w:szCs w:val="22"/>
        </w:rPr>
      </w:pPr>
      <w:r>
        <w:rPr>
          <w:rFonts w:hint="eastAsia" w:ascii="仿宋_GB2312" w:eastAsia="仿宋_GB2312"/>
          <w:bCs/>
          <w:color w:val="000000"/>
          <w:spacing w:val="-6"/>
          <w:szCs w:val="22"/>
        </w:rPr>
        <w:t>(评估结</w:t>
      </w:r>
      <w:r>
        <w:rPr>
          <w:rFonts w:ascii="仿宋_GB2312" w:eastAsia="仿宋_GB2312"/>
          <w:bCs/>
          <w:color w:val="000000"/>
          <w:spacing w:val="-6"/>
          <w:szCs w:val="22"/>
        </w:rPr>
        <w:t>果中包含估价对象应合理</w:t>
      </w:r>
      <w:r>
        <w:rPr>
          <w:rFonts w:hint="eastAsia" w:ascii="仿宋_GB2312" w:eastAsia="仿宋_GB2312"/>
          <w:bCs/>
          <w:color w:val="000000"/>
          <w:spacing w:val="-6"/>
          <w:szCs w:val="22"/>
        </w:rPr>
        <w:t>分</w:t>
      </w:r>
      <w:r>
        <w:rPr>
          <w:rFonts w:ascii="仿宋_GB2312" w:eastAsia="仿宋_GB2312"/>
          <w:bCs/>
          <w:color w:val="000000"/>
          <w:spacing w:val="-6"/>
          <w:szCs w:val="22"/>
        </w:rPr>
        <w:t>摊的土地</w:t>
      </w:r>
      <w:r>
        <w:rPr>
          <w:rFonts w:hint="eastAsia" w:ascii="仿宋_GB2312" w:eastAsia="仿宋_GB2312"/>
          <w:bCs/>
          <w:color w:val="000000"/>
          <w:spacing w:val="-6"/>
          <w:szCs w:val="22"/>
        </w:rPr>
        <w:t>使</w:t>
      </w:r>
      <w:r>
        <w:rPr>
          <w:rFonts w:ascii="仿宋_GB2312" w:eastAsia="仿宋_GB2312"/>
          <w:bCs/>
          <w:color w:val="000000"/>
          <w:spacing w:val="-6"/>
          <w:szCs w:val="22"/>
        </w:rPr>
        <w:t>用权</w:t>
      </w:r>
      <w:r>
        <w:rPr>
          <w:rFonts w:hint="eastAsia" w:ascii="仿宋_GB2312" w:eastAsia="仿宋_GB2312"/>
          <w:bCs/>
          <w:color w:val="000000"/>
          <w:spacing w:val="-6"/>
          <w:szCs w:val="22"/>
        </w:rPr>
        <w:t>价值及室内</w:t>
      </w:r>
      <w:r>
        <w:rPr>
          <w:rFonts w:ascii="仿宋_GB2312" w:eastAsia="仿宋_GB2312"/>
          <w:bCs/>
          <w:color w:val="000000"/>
          <w:spacing w:val="-6"/>
          <w:szCs w:val="22"/>
        </w:rPr>
        <w:t>装修</w:t>
      </w:r>
      <w:r>
        <w:rPr>
          <w:rFonts w:hint="eastAsia" w:ascii="仿宋_GB2312" w:eastAsia="仿宋_GB2312"/>
          <w:bCs/>
          <w:color w:val="000000"/>
          <w:spacing w:val="-6"/>
          <w:szCs w:val="22"/>
        </w:rPr>
        <w:t>)</w:t>
      </w:r>
    </w:p>
    <w:p w14:paraId="7C7E74DB">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一</w:t>
      </w:r>
      <w:r>
        <w:rPr>
          <w:rFonts w:hint="eastAsia" w:ascii="仿宋_GB2312" w:eastAsia="仿宋_GB2312"/>
          <w:b/>
          <w:bCs/>
          <w:color w:val="000000"/>
          <w:szCs w:val="22"/>
        </w:rPr>
        <w:t>、估价作业日期：</w:t>
      </w:r>
    </w:p>
    <w:p w14:paraId="1799B447">
      <w:pPr>
        <w:spacing w:line="360" w:lineRule="auto"/>
        <w:ind w:firstLine="560" w:firstLineChars="200"/>
        <w:rPr>
          <w:rFonts w:hint="eastAsia" w:ascii="仿宋_GB2312" w:eastAsia="仿宋_GB2312"/>
          <w:color w:val="000000"/>
          <w:szCs w:val="22"/>
          <w:lang w:eastAsia="zh-CN"/>
        </w:rPr>
      </w:pPr>
      <w:r>
        <w:rPr>
          <w:rFonts w:hint="eastAsia" w:ascii="仿宋_GB2312" w:eastAsia="仿宋_GB2312"/>
          <w:color w:val="000000"/>
          <w:szCs w:val="22"/>
        </w:rPr>
        <w:t>本次估价日期为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至</w:t>
      </w:r>
      <w:r>
        <w:rPr>
          <w:rFonts w:hint="eastAsia" w:ascii="仿宋_GB2312" w:eastAsia="仿宋_GB2312"/>
          <w:color w:val="000000"/>
          <w:szCs w:val="22"/>
          <w:lang w:eastAsia="zh-CN"/>
        </w:rPr>
        <w:t>二○二四年十一月二十八日</w:t>
      </w:r>
    </w:p>
    <w:p w14:paraId="6ED0783E">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二</w:t>
      </w:r>
      <w:r>
        <w:rPr>
          <w:rFonts w:hint="eastAsia" w:ascii="仿宋_GB2312" w:eastAsia="仿宋_GB2312"/>
          <w:b/>
          <w:bCs/>
          <w:color w:val="000000"/>
          <w:szCs w:val="22"/>
        </w:rPr>
        <w:t>、估价报告的重要说明：</w:t>
      </w:r>
    </w:p>
    <w:p w14:paraId="6D337FCC">
      <w:pPr>
        <w:pStyle w:val="3"/>
        <w:spacing w:line="360" w:lineRule="auto"/>
        <w:ind w:left="0" w:leftChars="0" w:firstLine="560" w:firstLineChars="200"/>
        <w:rPr>
          <w:rFonts w:ascii="仿宋_GB2312" w:eastAsia="仿宋_GB2312"/>
        </w:rPr>
      </w:pPr>
      <w:r>
        <w:rPr>
          <w:rFonts w:ascii="仿宋_GB2312" w:eastAsia="仿宋_GB2312"/>
          <w:color w:val="000000"/>
          <w:szCs w:val="22"/>
        </w:rPr>
        <w:t>1</w:t>
      </w:r>
      <w:r>
        <w:rPr>
          <w:rFonts w:hint="eastAsia" w:ascii="仿宋_GB2312" w:eastAsia="仿宋_GB2312"/>
          <w:color w:val="000000"/>
          <w:szCs w:val="22"/>
        </w:rPr>
        <w:t>、本报告的估价结果为</w:t>
      </w:r>
      <w:r>
        <w:rPr>
          <w:rFonts w:hint="eastAsia" w:ascii="仿宋_GB2312" w:eastAsia="仿宋_GB2312"/>
          <w:color w:val="000000"/>
          <w:szCs w:val="22"/>
          <w:lang w:eastAsia="zh-CN"/>
        </w:rPr>
        <w:t>二○二四年十一月一日</w:t>
      </w:r>
      <w:r>
        <w:rPr>
          <w:rFonts w:hint="eastAsia" w:ascii="仿宋_GB2312" w:eastAsia="仿宋_GB2312"/>
          <w:color w:val="000000"/>
          <w:szCs w:val="22"/>
        </w:rPr>
        <w:t>的公开市场价值，</w:t>
      </w:r>
      <w:r>
        <w:rPr>
          <w:rFonts w:hint="eastAsia" w:ascii="仿宋_GB2312" w:eastAsia="仿宋_GB2312"/>
        </w:rPr>
        <w:t>没有考虑特殊的交易方可能追加做出的价格等对其评估价值的影响，也未考虑国家宏观经济政策发生变化以及遇有自然力和其他不可抗力对资产价格的影响，当前述条件发生变化时，评估结果一般会失效。</w:t>
      </w:r>
    </w:p>
    <w:p w14:paraId="69F9F812">
      <w:pPr>
        <w:spacing w:line="360" w:lineRule="auto"/>
        <w:ind w:firstLine="560" w:firstLineChars="200"/>
        <w:rPr>
          <w:rFonts w:ascii="仿宋_GB2312" w:eastAsia="仿宋_GB2312"/>
        </w:rPr>
      </w:pPr>
      <w:r>
        <w:rPr>
          <w:rFonts w:hint="eastAsia" w:ascii="仿宋_GB2312" w:eastAsia="仿宋_GB2312"/>
          <w:color w:val="000000"/>
          <w:szCs w:val="22"/>
        </w:rPr>
        <w:t>2.</w:t>
      </w:r>
      <w:r>
        <w:rPr>
          <w:rFonts w:hint="eastAsia" w:ascii="仿宋_GB2312" w:eastAsia="仿宋_GB2312"/>
        </w:rPr>
        <w:t>根据国家的有关规定，本报告评估结果的有效期为一年，如果自出具估价报告之日起，使用本报告结果的时间超过一年，本评估报告失效。</w:t>
      </w:r>
    </w:p>
    <w:p w14:paraId="1579092B">
      <w:pPr>
        <w:spacing w:line="360" w:lineRule="auto"/>
        <w:ind w:firstLine="560" w:firstLineChars="200"/>
        <w:rPr>
          <w:rFonts w:ascii="仿宋_GB2312" w:eastAsia="仿宋_GB2312"/>
          <w:color w:val="000000"/>
          <w:szCs w:val="22"/>
        </w:rPr>
      </w:pPr>
      <w:r>
        <w:rPr>
          <w:rFonts w:hint="eastAsia" w:ascii="仿宋_GB2312" w:eastAsia="仿宋_GB2312"/>
          <w:color w:val="000000"/>
          <w:szCs w:val="22"/>
          <w:lang w:val="en-US" w:eastAsia="zh-CN"/>
        </w:rPr>
        <w:t>3</w:t>
      </w:r>
      <w:r>
        <w:rPr>
          <w:rFonts w:hint="eastAsia" w:ascii="仿宋_GB2312" w:eastAsia="仿宋_GB2312"/>
          <w:color w:val="000000"/>
          <w:szCs w:val="22"/>
        </w:rPr>
        <w:t>、使用本报告的有关人士，如有疑问可向本公司咨询，其它单位或其它任何个人意见不代表我公司对该房地产价值评估意见。</w:t>
      </w:r>
    </w:p>
    <w:p w14:paraId="63712951">
      <w:pPr>
        <w:spacing w:line="360" w:lineRule="auto"/>
        <w:rPr>
          <w:rFonts w:ascii="仿宋_GB2312" w:eastAsia="仿宋_GB2312"/>
          <w:b/>
          <w:bCs/>
          <w:color w:val="000000"/>
          <w:szCs w:val="22"/>
        </w:rPr>
      </w:pPr>
      <w:r>
        <w:rPr>
          <w:rFonts w:hint="eastAsia" w:ascii="仿宋_GB2312" w:eastAsia="仿宋_GB2312"/>
          <w:b/>
          <w:bCs/>
          <w:color w:val="000000"/>
          <w:szCs w:val="22"/>
        </w:rPr>
        <w:t>十</w:t>
      </w:r>
      <w:r>
        <w:rPr>
          <w:rFonts w:hint="eastAsia" w:ascii="仿宋_GB2312" w:eastAsia="仿宋_GB2312"/>
          <w:b/>
          <w:bCs/>
          <w:color w:val="000000"/>
          <w:szCs w:val="22"/>
          <w:lang w:val="en-US" w:eastAsia="zh-CN"/>
        </w:rPr>
        <w:t>三</w:t>
      </w:r>
      <w:r>
        <w:rPr>
          <w:rFonts w:hint="eastAsia" w:ascii="仿宋_GB2312" w:eastAsia="仿宋_GB2312"/>
          <w:b/>
          <w:bCs/>
          <w:color w:val="000000"/>
          <w:szCs w:val="22"/>
        </w:rPr>
        <w:t>、估价人员：</w:t>
      </w:r>
    </w:p>
    <w:tbl>
      <w:tblPr>
        <w:tblStyle w:val="10"/>
        <w:tblpPr w:leftFromText="180" w:rightFromText="180" w:vertAnchor="text" w:horzAnchor="page" w:tblpX="1399" w:tblpY="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09"/>
        <w:gridCol w:w="2679"/>
        <w:gridCol w:w="2675"/>
      </w:tblGrid>
      <w:tr w14:paraId="06CD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865" w:type="dxa"/>
            <w:tcBorders>
              <w:top w:val="single" w:color="auto" w:sz="4" w:space="0"/>
              <w:left w:val="single" w:color="auto" w:sz="4" w:space="0"/>
              <w:bottom w:val="single" w:color="auto" w:sz="4" w:space="0"/>
              <w:right w:val="single" w:color="auto" w:sz="4" w:space="0"/>
            </w:tcBorders>
            <w:vAlign w:val="center"/>
          </w:tcPr>
          <w:p w14:paraId="2E6F7EE9">
            <w:pPr>
              <w:spacing w:line="510" w:lineRule="exact"/>
              <w:jc w:val="center"/>
              <w:rPr>
                <w:rFonts w:ascii="仿宋_GB2312" w:eastAsia="仿宋_GB2312"/>
                <w:color w:val="000000"/>
                <w:szCs w:val="22"/>
              </w:rPr>
            </w:pPr>
            <w:r>
              <w:rPr>
                <w:rFonts w:hint="eastAsia" w:ascii="仿宋_GB2312" w:eastAsia="仿宋_GB2312"/>
                <w:color w:val="000000"/>
                <w:szCs w:val="22"/>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5E85EFDF">
            <w:pPr>
              <w:spacing w:line="510" w:lineRule="exact"/>
              <w:jc w:val="center"/>
              <w:rPr>
                <w:rFonts w:ascii="仿宋_GB2312" w:eastAsia="仿宋_GB2312"/>
                <w:color w:val="000000"/>
                <w:szCs w:val="22"/>
              </w:rPr>
            </w:pPr>
            <w:r>
              <w:rPr>
                <w:rFonts w:hint="eastAsia" w:ascii="仿宋_GB2312" w:eastAsia="仿宋_GB2312"/>
                <w:color w:val="000000"/>
                <w:szCs w:val="22"/>
              </w:rPr>
              <w:t>注册号</w:t>
            </w:r>
          </w:p>
        </w:tc>
        <w:tc>
          <w:tcPr>
            <w:tcW w:w="2679" w:type="dxa"/>
            <w:tcBorders>
              <w:top w:val="single" w:color="auto" w:sz="4" w:space="0"/>
              <w:left w:val="single" w:color="auto" w:sz="4" w:space="0"/>
              <w:bottom w:val="single" w:color="auto" w:sz="4" w:space="0"/>
              <w:right w:val="single" w:color="auto" w:sz="4" w:space="0"/>
            </w:tcBorders>
            <w:vAlign w:val="center"/>
          </w:tcPr>
          <w:p w14:paraId="588677B9">
            <w:pPr>
              <w:spacing w:line="510" w:lineRule="exact"/>
              <w:ind w:firstLine="1120" w:firstLineChars="400"/>
              <w:jc w:val="left"/>
              <w:rPr>
                <w:rFonts w:ascii="仿宋_GB2312" w:eastAsia="仿宋_GB2312"/>
                <w:color w:val="000000"/>
                <w:szCs w:val="22"/>
              </w:rPr>
            </w:pPr>
            <w:r>
              <w:rPr>
                <w:rFonts w:hint="eastAsia" w:ascii="仿宋_GB2312" w:eastAsia="仿宋_GB2312"/>
                <w:color w:val="000000"/>
                <w:szCs w:val="22"/>
              </w:rPr>
              <w:t>签名</w:t>
            </w:r>
          </w:p>
        </w:tc>
        <w:tc>
          <w:tcPr>
            <w:tcW w:w="2675" w:type="dxa"/>
            <w:tcBorders>
              <w:top w:val="single" w:color="auto" w:sz="4" w:space="0"/>
              <w:left w:val="single" w:color="auto" w:sz="4" w:space="0"/>
              <w:bottom w:val="single" w:color="auto" w:sz="4" w:space="0"/>
              <w:right w:val="single" w:color="auto" w:sz="4" w:space="0"/>
            </w:tcBorders>
            <w:vAlign w:val="center"/>
          </w:tcPr>
          <w:p w14:paraId="33530C33">
            <w:pPr>
              <w:spacing w:line="510" w:lineRule="exact"/>
              <w:ind w:firstLine="560" w:firstLineChars="200"/>
              <w:jc w:val="center"/>
              <w:rPr>
                <w:rFonts w:ascii="仿宋_GB2312" w:eastAsia="仿宋_GB2312"/>
                <w:color w:val="000000"/>
                <w:szCs w:val="22"/>
              </w:rPr>
            </w:pPr>
            <w:r>
              <w:rPr>
                <w:rFonts w:hint="eastAsia" w:ascii="仿宋_GB2312" w:eastAsia="仿宋_GB2312"/>
                <w:color w:val="000000"/>
                <w:szCs w:val="22"/>
              </w:rPr>
              <w:t>签名日期</w:t>
            </w:r>
          </w:p>
        </w:tc>
      </w:tr>
      <w:tr w14:paraId="3B36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65" w:type="dxa"/>
            <w:tcBorders>
              <w:top w:val="single" w:color="auto" w:sz="4" w:space="0"/>
              <w:left w:val="single" w:color="auto" w:sz="4" w:space="0"/>
              <w:bottom w:val="single" w:color="auto" w:sz="4" w:space="0"/>
              <w:right w:val="single" w:color="auto" w:sz="4" w:space="0"/>
            </w:tcBorders>
            <w:vAlign w:val="center"/>
          </w:tcPr>
          <w:p w14:paraId="10380A78">
            <w:pPr>
              <w:spacing w:line="510" w:lineRule="exact"/>
              <w:jc w:val="center"/>
              <w:rPr>
                <w:rFonts w:ascii="仿宋_GB2312" w:eastAsia="仿宋_GB2312"/>
                <w:color w:val="000000"/>
                <w:szCs w:val="22"/>
              </w:rPr>
            </w:pPr>
            <w:r>
              <w:rPr>
                <w:rFonts w:hint="eastAsia" w:ascii="仿宋_GB2312" w:eastAsia="仿宋_GB2312"/>
                <w:color w:val="000000"/>
                <w:szCs w:val="22"/>
              </w:rPr>
              <w:t>滕晓荣</w:t>
            </w:r>
          </w:p>
        </w:tc>
        <w:tc>
          <w:tcPr>
            <w:tcW w:w="2409" w:type="dxa"/>
            <w:tcBorders>
              <w:top w:val="single" w:color="auto" w:sz="4" w:space="0"/>
              <w:left w:val="single" w:color="auto" w:sz="4" w:space="0"/>
              <w:bottom w:val="single" w:color="auto" w:sz="4" w:space="0"/>
              <w:right w:val="single" w:color="auto" w:sz="4" w:space="0"/>
            </w:tcBorders>
            <w:vAlign w:val="center"/>
          </w:tcPr>
          <w:p w14:paraId="09A1BECB">
            <w:pPr>
              <w:spacing w:line="510" w:lineRule="exact"/>
              <w:jc w:val="center"/>
              <w:rPr>
                <w:rFonts w:ascii="仿宋_GB2312" w:eastAsia="仿宋_GB2312"/>
                <w:color w:val="000000"/>
                <w:szCs w:val="22"/>
              </w:rPr>
            </w:pPr>
            <w:r>
              <w:rPr>
                <w:rFonts w:hint="eastAsia" w:ascii="仿宋_GB2312" w:eastAsia="仿宋_GB2312"/>
                <w:color w:val="000000"/>
                <w:szCs w:val="22"/>
              </w:rPr>
              <w:t>3720060099</w:t>
            </w:r>
          </w:p>
        </w:tc>
        <w:tc>
          <w:tcPr>
            <w:tcW w:w="2679" w:type="dxa"/>
            <w:tcBorders>
              <w:top w:val="single" w:color="auto" w:sz="4" w:space="0"/>
              <w:left w:val="single" w:color="auto" w:sz="4" w:space="0"/>
              <w:bottom w:val="single" w:color="auto" w:sz="4" w:space="0"/>
              <w:right w:val="single" w:color="auto" w:sz="4" w:space="0"/>
            </w:tcBorders>
            <w:vAlign w:val="center"/>
          </w:tcPr>
          <w:p w14:paraId="1DCD19A5">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35824EF6">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r w14:paraId="5F8B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865" w:type="dxa"/>
            <w:tcBorders>
              <w:top w:val="single" w:color="auto" w:sz="4" w:space="0"/>
              <w:left w:val="single" w:color="auto" w:sz="4" w:space="0"/>
              <w:bottom w:val="single" w:color="auto" w:sz="4" w:space="0"/>
              <w:right w:val="single" w:color="auto" w:sz="4" w:space="0"/>
            </w:tcBorders>
            <w:vAlign w:val="center"/>
          </w:tcPr>
          <w:p w14:paraId="19CD33F6">
            <w:pPr>
              <w:spacing w:line="510" w:lineRule="exact"/>
              <w:jc w:val="center"/>
              <w:rPr>
                <w:rFonts w:ascii="仿宋_GB2312" w:eastAsia="仿宋_GB2312"/>
                <w:color w:val="000000"/>
                <w:szCs w:val="22"/>
              </w:rPr>
            </w:pPr>
            <w:r>
              <w:rPr>
                <w:rFonts w:hint="eastAsia" w:ascii="仿宋_GB2312" w:eastAsia="仿宋_GB2312"/>
                <w:color w:val="000000"/>
                <w:szCs w:val="22"/>
              </w:rPr>
              <w:t>赵子健</w:t>
            </w:r>
          </w:p>
        </w:tc>
        <w:tc>
          <w:tcPr>
            <w:tcW w:w="2409" w:type="dxa"/>
            <w:tcBorders>
              <w:top w:val="single" w:color="auto" w:sz="4" w:space="0"/>
              <w:left w:val="single" w:color="auto" w:sz="4" w:space="0"/>
              <w:bottom w:val="single" w:color="auto" w:sz="4" w:space="0"/>
              <w:right w:val="single" w:color="auto" w:sz="4" w:space="0"/>
            </w:tcBorders>
            <w:vAlign w:val="center"/>
          </w:tcPr>
          <w:p w14:paraId="28647B20">
            <w:pPr>
              <w:spacing w:line="510" w:lineRule="exact"/>
              <w:jc w:val="center"/>
              <w:rPr>
                <w:rFonts w:ascii="仿宋_GB2312" w:eastAsia="仿宋_GB2312"/>
                <w:color w:val="000000"/>
                <w:szCs w:val="22"/>
              </w:rPr>
            </w:pPr>
            <w:r>
              <w:rPr>
                <w:rFonts w:hint="eastAsia" w:ascii="仿宋_GB2312" w:eastAsia="仿宋_GB2312"/>
                <w:color w:val="000000"/>
                <w:szCs w:val="22"/>
              </w:rPr>
              <w:t>3720190046</w:t>
            </w:r>
          </w:p>
        </w:tc>
        <w:tc>
          <w:tcPr>
            <w:tcW w:w="2679" w:type="dxa"/>
            <w:tcBorders>
              <w:top w:val="single" w:color="auto" w:sz="4" w:space="0"/>
              <w:left w:val="single" w:color="auto" w:sz="4" w:space="0"/>
              <w:bottom w:val="single" w:color="auto" w:sz="4" w:space="0"/>
              <w:right w:val="single" w:color="auto" w:sz="4" w:space="0"/>
            </w:tcBorders>
            <w:vAlign w:val="center"/>
          </w:tcPr>
          <w:p w14:paraId="5D0D9AFE">
            <w:pPr>
              <w:spacing w:line="510" w:lineRule="exact"/>
              <w:jc w:val="center"/>
              <w:rPr>
                <w:rFonts w:ascii="仿宋_GB2312" w:eastAsia="仿宋_GB2312"/>
                <w:color w:val="000000"/>
                <w:szCs w:val="22"/>
              </w:rPr>
            </w:pPr>
          </w:p>
        </w:tc>
        <w:tc>
          <w:tcPr>
            <w:tcW w:w="2675" w:type="dxa"/>
            <w:tcBorders>
              <w:top w:val="single" w:color="auto" w:sz="4" w:space="0"/>
              <w:left w:val="single" w:color="auto" w:sz="4" w:space="0"/>
              <w:bottom w:val="single" w:color="auto" w:sz="4" w:space="0"/>
              <w:right w:val="single" w:color="auto" w:sz="4" w:space="0"/>
            </w:tcBorders>
            <w:vAlign w:val="center"/>
          </w:tcPr>
          <w:p w14:paraId="4CAA852C">
            <w:pPr>
              <w:spacing w:line="510" w:lineRule="exact"/>
              <w:jc w:val="center"/>
              <w:rPr>
                <w:rFonts w:ascii="仿宋_GB2312" w:eastAsia="仿宋_GB2312"/>
                <w:color w:val="000000"/>
                <w:szCs w:val="22"/>
              </w:rPr>
            </w:pPr>
            <w:r>
              <w:rPr>
                <w:rFonts w:ascii="仿宋_GB2312" w:eastAsia="仿宋_GB2312"/>
                <w:color w:val="000000"/>
                <w:szCs w:val="22"/>
              </w:rPr>
              <w:fldChar w:fldCharType="begin"/>
            </w:r>
            <w:r>
              <w:rPr>
                <w:rFonts w:ascii="仿宋_GB2312" w:eastAsia="仿宋_GB2312"/>
                <w:color w:val="000000"/>
                <w:szCs w:val="22"/>
              </w:rPr>
              <w:instrText xml:space="preserve"> MERGEFIELD "</w:instrText>
            </w:r>
            <w:r>
              <w:rPr>
                <w:rFonts w:hint="eastAsia" w:ascii="仿宋_GB2312" w:eastAsia="仿宋_GB2312"/>
                <w:color w:val="000000"/>
                <w:szCs w:val="22"/>
              </w:rPr>
              <w:instrText xml:space="preserve">作业时间</w:instrText>
            </w:r>
            <w:r>
              <w:rPr>
                <w:rFonts w:ascii="仿宋_GB2312" w:eastAsia="仿宋_GB2312"/>
                <w:color w:val="000000"/>
                <w:szCs w:val="22"/>
              </w:rPr>
              <w:instrText xml:space="preserve">" </w:instrText>
            </w:r>
            <w:r>
              <w:rPr>
                <w:rFonts w:hint="eastAsia" w:ascii="仿宋_GB2312" w:eastAsia="仿宋_GB2312"/>
                <w:color w:val="000000"/>
                <w:szCs w:val="22"/>
              </w:rPr>
              <w:instrText xml:space="preserve">\@YYYY年M月D日</w:instrText>
            </w:r>
            <w:r>
              <w:rPr>
                <w:rFonts w:ascii="仿宋_GB2312" w:eastAsia="仿宋_GB2312"/>
                <w:color w:val="000000"/>
                <w:szCs w:val="22"/>
              </w:rPr>
              <w:fldChar w:fldCharType="separate"/>
            </w:r>
            <w:r>
              <w:rPr>
                <w:rFonts w:hint="eastAsia" w:ascii="仿宋_GB2312" w:eastAsia="仿宋_GB2312"/>
                <w:color w:val="000000"/>
                <w:szCs w:val="22"/>
                <w:lang w:eastAsia="zh-CN"/>
              </w:rPr>
              <w:t>2024年11月28日</w:t>
            </w:r>
            <w:r>
              <w:rPr>
                <w:rFonts w:ascii="仿宋_GB2312" w:eastAsia="仿宋_GB2312"/>
                <w:color w:val="000000"/>
                <w:szCs w:val="22"/>
              </w:rPr>
              <w:fldChar w:fldCharType="end"/>
            </w:r>
          </w:p>
        </w:tc>
      </w:tr>
    </w:tbl>
    <w:p w14:paraId="7A2F8C25">
      <w:pPr>
        <w:spacing w:line="510" w:lineRule="exact"/>
        <w:rPr>
          <w:rFonts w:ascii="仿宋_GB2312" w:eastAsia="仿宋_GB2312"/>
          <w:color w:val="000000"/>
          <w:szCs w:val="22"/>
        </w:rPr>
      </w:pPr>
      <w:r>
        <w:rPr>
          <w:rFonts w:hint="eastAsia" w:ascii="仿宋_GB2312" w:eastAsia="仿宋_GB2312"/>
          <w:color w:val="000000"/>
          <w:szCs w:val="22"/>
        </w:rPr>
        <w:t xml:space="preserve">   </w:t>
      </w:r>
    </w:p>
    <w:p w14:paraId="0B3C16C5">
      <w:pPr>
        <w:spacing w:line="510" w:lineRule="exact"/>
        <w:rPr>
          <w:rFonts w:ascii="仿宋_GB2312" w:eastAsia="仿宋_GB2312"/>
          <w:color w:val="000000"/>
        </w:rPr>
      </w:pPr>
    </w:p>
    <w:p w14:paraId="5D25BE87">
      <w:pPr>
        <w:spacing w:line="510" w:lineRule="exact"/>
        <w:rPr>
          <w:rFonts w:ascii="仿宋_GB2312" w:eastAsia="仿宋_GB2312"/>
          <w:color w:val="000000"/>
        </w:rPr>
      </w:pPr>
    </w:p>
    <w:p w14:paraId="2126327C">
      <w:pPr>
        <w:spacing w:line="510" w:lineRule="exact"/>
        <w:rPr>
          <w:rFonts w:ascii="仿宋_GB2312" w:eastAsia="仿宋_GB2312"/>
          <w:color w:val="000000"/>
        </w:rPr>
      </w:pPr>
    </w:p>
    <w:p w14:paraId="12DFEA0E">
      <w:pPr>
        <w:spacing w:line="510" w:lineRule="exact"/>
        <w:rPr>
          <w:rFonts w:ascii="仿宋_GB2312" w:eastAsia="仿宋_GB2312"/>
          <w:color w:val="000000"/>
        </w:rPr>
      </w:pPr>
      <w:r>
        <w:rPr>
          <w:rFonts w:hint="eastAsia" w:ascii="仿宋_GB2312" w:eastAsia="仿宋_GB2312"/>
          <w:color w:val="000000"/>
        </w:rPr>
        <w:t xml:space="preserve">                              山东中创土地房地产资产评估测绘有限公司 </w:t>
      </w:r>
    </w:p>
    <w:p w14:paraId="4CCEBE22">
      <w:pPr>
        <w:spacing w:line="510" w:lineRule="exact"/>
        <w:rPr>
          <w:rFonts w:hint="eastAsia" w:ascii="仿宋_GB2312" w:eastAsia="仿宋_GB2312"/>
          <w:color w:val="000000"/>
          <w:lang w:eastAsia="zh-CN"/>
        </w:rPr>
      </w:pPr>
      <w:r>
        <w:rPr>
          <w:rFonts w:hint="eastAsia" w:ascii="仿宋_GB2312" w:eastAsia="仿宋_GB2312"/>
          <w:color w:val="000000"/>
        </w:rPr>
        <w:t xml:space="preserve">                                        </w:t>
      </w:r>
      <w:r>
        <w:rPr>
          <w:rFonts w:hint="eastAsia" w:ascii="仿宋_GB2312" w:eastAsia="仿宋_GB2312"/>
          <w:color w:val="000000"/>
          <w:lang w:eastAsia="zh-CN"/>
        </w:rPr>
        <w:t>二○二四年十一月二十八日</w:t>
      </w:r>
    </w:p>
    <w:p w14:paraId="1EC6F5C8">
      <w:pPr>
        <w:spacing w:line="510" w:lineRule="exact"/>
        <w:rPr>
          <w:rFonts w:hint="eastAsia" w:ascii="仿宋_GB2312" w:eastAsia="仿宋_GB2312"/>
          <w:color w:val="000000"/>
          <w:lang w:eastAsia="zh-CN"/>
        </w:rPr>
      </w:pPr>
    </w:p>
    <w:p w14:paraId="4B822DFD">
      <w:pPr>
        <w:spacing w:line="510" w:lineRule="exact"/>
        <w:rPr>
          <w:rFonts w:ascii="宋体" w:hAnsi="宋体"/>
          <w:b/>
          <w:color w:val="000000"/>
          <w:sz w:val="44"/>
          <w:szCs w:val="44"/>
        </w:rPr>
      </w:pPr>
    </w:p>
    <w:p w14:paraId="6311B4FA">
      <w:pPr>
        <w:spacing w:line="510" w:lineRule="exact"/>
        <w:rPr>
          <w:rFonts w:ascii="宋体" w:hAnsi="宋体"/>
          <w:b/>
          <w:color w:val="000000"/>
          <w:sz w:val="44"/>
          <w:szCs w:val="44"/>
        </w:rPr>
      </w:pPr>
    </w:p>
    <w:p w14:paraId="05D22030">
      <w:pPr>
        <w:spacing w:line="510" w:lineRule="exact"/>
        <w:rPr>
          <w:rFonts w:ascii="宋体" w:hAnsi="宋体"/>
          <w:b/>
          <w:color w:val="000000"/>
          <w:sz w:val="44"/>
          <w:szCs w:val="44"/>
        </w:rPr>
      </w:pPr>
    </w:p>
    <w:p w14:paraId="4C217ECD">
      <w:pPr>
        <w:spacing w:line="510" w:lineRule="exact"/>
        <w:rPr>
          <w:rFonts w:ascii="宋体" w:hAnsi="宋体"/>
          <w:b/>
          <w:color w:val="000000"/>
          <w:sz w:val="44"/>
          <w:szCs w:val="44"/>
        </w:rPr>
      </w:pPr>
    </w:p>
    <w:p w14:paraId="760D368D">
      <w:pPr>
        <w:spacing w:line="510" w:lineRule="exact"/>
        <w:rPr>
          <w:rFonts w:ascii="宋体" w:hAnsi="宋体"/>
          <w:b/>
          <w:color w:val="000000"/>
          <w:sz w:val="44"/>
          <w:szCs w:val="44"/>
        </w:rPr>
      </w:pPr>
    </w:p>
    <w:p w14:paraId="6502C842">
      <w:pPr>
        <w:spacing w:line="510" w:lineRule="exact"/>
        <w:rPr>
          <w:rFonts w:ascii="宋体" w:hAnsi="宋体"/>
          <w:b/>
          <w:color w:val="000000"/>
          <w:sz w:val="44"/>
          <w:szCs w:val="44"/>
        </w:rPr>
      </w:pPr>
    </w:p>
    <w:p w14:paraId="5E7D5022">
      <w:pPr>
        <w:spacing w:line="510" w:lineRule="exact"/>
        <w:rPr>
          <w:rFonts w:ascii="宋体" w:hAnsi="宋体"/>
          <w:b/>
          <w:color w:val="000000"/>
          <w:sz w:val="44"/>
          <w:szCs w:val="44"/>
        </w:rPr>
      </w:pPr>
    </w:p>
    <w:p w14:paraId="0A95A895">
      <w:pPr>
        <w:spacing w:line="510" w:lineRule="exact"/>
        <w:rPr>
          <w:rFonts w:ascii="宋体" w:hAnsi="宋体"/>
          <w:b/>
          <w:color w:val="000000"/>
          <w:sz w:val="44"/>
          <w:szCs w:val="44"/>
        </w:rPr>
      </w:pPr>
    </w:p>
    <w:p w14:paraId="5CEFFD64">
      <w:pPr>
        <w:spacing w:line="510" w:lineRule="exact"/>
        <w:rPr>
          <w:rFonts w:ascii="宋体" w:hAnsi="宋体"/>
          <w:b/>
          <w:color w:val="000000"/>
          <w:sz w:val="44"/>
          <w:szCs w:val="44"/>
        </w:rPr>
      </w:pPr>
    </w:p>
    <w:p w14:paraId="41E35FF7">
      <w:pPr>
        <w:spacing w:line="510" w:lineRule="exact"/>
        <w:rPr>
          <w:rFonts w:ascii="宋体" w:hAnsi="宋体"/>
          <w:b/>
          <w:color w:val="000000"/>
          <w:sz w:val="44"/>
          <w:szCs w:val="44"/>
        </w:rPr>
      </w:pPr>
    </w:p>
    <w:p w14:paraId="392CD44B">
      <w:pPr>
        <w:spacing w:line="510" w:lineRule="exact"/>
        <w:rPr>
          <w:rFonts w:ascii="宋体" w:hAnsi="宋体"/>
          <w:b/>
          <w:color w:val="000000"/>
          <w:sz w:val="44"/>
          <w:szCs w:val="44"/>
        </w:rPr>
      </w:pPr>
    </w:p>
    <w:p w14:paraId="5033C9F8">
      <w:pPr>
        <w:spacing w:line="510" w:lineRule="exact"/>
        <w:rPr>
          <w:rFonts w:ascii="宋体" w:hAnsi="宋体"/>
          <w:b/>
          <w:color w:val="000000"/>
          <w:sz w:val="44"/>
          <w:szCs w:val="44"/>
        </w:rPr>
      </w:pPr>
    </w:p>
    <w:p w14:paraId="05C99524">
      <w:pPr>
        <w:spacing w:line="180" w:lineRule="auto"/>
        <w:jc w:val="center"/>
        <w:rPr>
          <w:b/>
          <w:color w:val="000000"/>
          <w:spacing w:val="4"/>
          <w:sz w:val="36"/>
          <w:szCs w:val="36"/>
        </w:rPr>
      </w:pPr>
      <w:r>
        <w:rPr>
          <w:rFonts w:hint="eastAsia" w:ascii="宋体" w:hAnsi="宋体"/>
          <w:b/>
          <w:color w:val="000000"/>
          <w:sz w:val="36"/>
          <w:szCs w:val="36"/>
        </w:rPr>
        <w:t>附件目录</w:t>
      </w:r>
    </w:p>
    <w:p w14:paraId="517C4107">
      <w:pPr>
        <w:numPr>
          <w:ilvl w:val="0"/>
          <w:numId w:val="2"/>
        </w:numPr>
        <w:tabs>
          <w:tab w:val="left" w:pos="2520"/>
        </w:tabs>
        <w:spacing w:line="480" w:lineRule="auto"/>
        <w:ind w:firstLine="560" w:firstLineChars="200"/>
        <w:rPr>
          <w:rFonts w:hint="eastAsia" w:ascii="仿宋_GB2312" w:eastAsia="仿宋_GB2312"/>
          <w:color w:val="000000"/>
          <w:lang w:val="en-US" w:eastAsia="zh-CN"/>
        </w:rPr>
      </w:pPr>
      <w:r>
        <w:rPr>
          <w:rFonts w:hint="eastAsia" w:ascii="仿宋_GB2312" w:eastAsia="仿宋_GB2312"/>
          <w:color w:val="000000"/>
          <w:lang w:val="en-US" w:eastAsia="zh-CN"/>
        </w:rPr>
        <w:t>评估明细表：</w:t>
      </w:r>
    </w:p>
    <w:p w14:paraId="0A45D34D">
      <w:pPr>
        <w:numPr>
          <w:ilvl w:val="0"/>
          <w:numId w:val="2"/>
        </w:numPr>
        <w:tabs>
          <w:tab w:val="left" w:pos="2520"/>
        </w:tabs>
        <w:spacing w:line="480" w:lineRule="auto"/>
        <w:ind w:firstLine="560" w:firstLineChars="200"/>
        <w:rPr>
          <w:rFonts w:hint="default" w:ascii="仿宋_GB2312" w:eastAsia="仿宋_GB2312"/>
          <w:color w:val="000000"/>
          <w:lang w:val="en-US" w:eastAsia="zh-CN"/>
        </w:rPr>
      </w:pPr>
      <w:r>
        <w:rPr>
          <w:rFonts w:hint="eastAsia" w:ascii="仿宋_GB2312" w:eastAsia="仿宋_GB2312"/>
          <w:color w:val="000000"/>
          <w:lang w:val="en-US" w:eastAsia="zh-CN"/>
        </w:rPr>
        <w:t>委托书复印件；</w:t>
      </w:r>
    </w:p>
    <w:p w14:paraId="7A481709">
      <w:pPr>
        <w:tabs>
          <w:tab w:val="left" w:pos="2520"/>
        </w:tabs>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三</w:t>
      </w:r>
      <w:r>
        <w:rPr>
          <w:rFonts w:hint="eastAsia" w:ascii="仿宋_GB2312" w:eastAsia="仿宋_GB2312"/>
          <w:color w:val="000000"/>
        </w:rPr>
        <w:t>）不动产</w:t>
      </w:r>
      <w:r>
        <w:rPr>
          <w:rFonts w:hint="eastAsia" w:ascii="仿宋_GB2312" w:eastAsia="仿宋_GB2312"/>
          <w:color w:val="000000"/>
          <w:lang w:val="en-US" w:eastAsia="zh-CN"/>
        </w:rPr>
        <w:t>证</w:t>
      </w:r>
      <w:r>
        <w:rPr>
          <w:rFonts w:hint="eastAsia" w:ascii="仿宋_GB2312" w:eastAsia="仿宋_GB2312"/>
          <w:color w:val="000000"/>
        </w:rPr>
        <w:t>复印件；</w:t>
      </w:r>
    </w:p>
    <w:p w14:paraId="6E61D3F2">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四</w:t>
      </w:r>
      <w:r>
        <w:rPr>
          <w:rFonts w:hint="eastAsia" w:ascii="仿宋_GB2312" w:eastAsia="仿宋_GB2312"/>
          <w:color w:val="000000"/>
        </w:rPr>
        <w:t>）估价对象照片；</w:t>
      </w:r>
    </w:p>
    <w:p w14:paraId="06089F8F">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五</w:t>
      </w:r>
      <w:r>
        <w:rPr>
          <w:rFonts w:hint="eastAsia" w:ascii="仿宋_GB2312" w:eastAsia="仿宋_GB2312"/>
          <w:color w:val="000000"/>
        </w:rPr>
        <w:t>）估价机构营业执照副本复印件；</w:t>
      </w:r>
    </w:p>
    <w:p w14:paraId="428CE52B">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六</w:t>
      </w:r>
      <w:r>
        <w:rPr>
          <w:rFonts w:hint="eastAsia" w:ascii="仿宋_GB2312" w:eastAsia="仿宋_GB2312"/>
          <w:color w:val="000000"/>
        </w:rPr>
        <w:t>）估价机构资质证书复印件；</w:t>
      </w:r>
    </w:p>
    <w:p w14:paraId="53AE65C9">
      <w:pPr>
        <w:spacing w:line="480" w:lineRule="auto"/>
        <w:ind w:firstLine="56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七</w:t>
      </w:r>
      <w:r>
        <w:rPr>
          <w:rFonts w:hint="eastAsia" w:ascii="仿宋_GB2312" w:eastAsia="仿宋_GB2312"/>
          <w:color w:val="000000"/>
        </w:rPr>
        <w:t>）注册房地产估价师资格证书复印件。</w:t>
      </w:r>
    </w:p>
    <w:p w14:paraId="29C76DDD">
      <w:pPr>
        <w:spacing w:line="180" w:lineRule="auto"/>
        <w:ind w:firstLine="4760" w:firstLineChars="1700"/>
        <w:rPr>
          <w:rFonts w:ascii="仿宋_GB2312" w:eastAsia="仿宋_GB2312"/>
          <w:color w:val="000000"/>
        </w:rPr>
      </w:pPr>
    </w:p>
    <w:p w14:paraId="4470C76F">
      <w:pPr>
        <w:spacing w:line="180" w:lineRule="auto"/>
        <w:ind w:firstLine="4760" w:firstLineChars="1700"/>
        <w:rPr>
          <w:rFonts w:ascii="仿宋_GB2312" w:eastAsia="仿宋_GB2312"/>
          <w:color w:val="000000"/>
        </w:rPr>
      </w:pPr>
    </w:p>
    <w:p w14:paraId="3570D82D">
      <w:pPr>
        <w:spacing w:line="180" w:lineRule="auto"/>
        <w:ind w:firstLine="4760" w:firstLineChars="1700"/>
        <w:rPr>
          <w:rFonts w:ascii="仿宋_GB2312" w:eastAsia="仿宋_GB2312"/>
          <w:color w:val="000000"/>
        </w:rPr>
      </w:pPr>
    </w:p>
    <w:p w14:paraId="19A5783F">
      <w:pPr>
        <w:spacing w:line="180" w:lineRule="auto"/>
        <w:ind w:firstLine="4760" w:firstLineChars="1700"/>
        <w:rPr>
          <w:rFonts w:ascii="仿宋_GB2312" w:eastAsia="仿宋_GB2312"/>
          <w:color w:val="000000"/>
        </w:rPr>
      </w:pPr>
    </w:p>
    <w:p w14:paraId="5C9BCA39">
      <w:pPr>
        <w:spacing w:line="180" w:lineRule="auto"/>
        <w:ind w:firstLine="4760" w:firstLineChars="1700"/>
        <w:rPr>
          <w:rFonts w:ascii="仿宋_GB2312" w:eastAsia="仿宋_GB2312"/>
          <w:color w:val="000000"/>
        </w:rPr>
      </w:pPr>
    </w:p>
    <w:p w14:paraId="07B1D602">
      <w:pPr>
        <w:spacing w:line="180" w:lineRule="auto"/>
        <w:ind w:firstLine="4760" w:firstLineChars="1700"/>
        <w:rPr>
          <w:rFonts w:ascii="仿宋_GB2312" w:eastAsia="仿宋_GB2312"/>
          <w:color w:val="000000"/>
        </w:rPr>
      </w:pPr>
    </w:p>
    <w:p w14:paraId="1363AB84">
      <w:pPr>
        <w:spacing w:line="180" w:lineRule="auto"/>
        <w:ind w:firstLine="4760" w:firstLineChars="1700"/>
        <w:rPr>
          <w:rFonts w:ascii="仿宋_GB2312" w:eastAsia="仿宋_GB2312"/>
          <w:color w:val="000000"/>
        </w:rPr>
      </w:pPr>
    </w:p>
    <w:p w14:paraId="3D0D4B66">
      <w:pPr>
        <w:spacing w:line="180" w:lineRule="auto"/>
        <w:ind w:firstLine="4760" w:firstLineChars="1700"/>
        <w:rPr>
          <w:rFonts w:ascii="仿宋_GB2312" w:eastAsia="仿宋_GB2312"/>
          <w:color w:val="000000"/>
        </w:rPr>
      </w:pPr>
    </w:p>
    <w:p w14:paraId="45FEFFA2">
      <w:pPr>
        <w:spacing w:line="180" w:lineRule="auto"/>
        <w:ind w:firstLine="4760" w:firstLineChars="1700"/>
        <w:rPr>
          <w:rFonts w:ascii="仿宋_GB2312" w:eastAsia="仿宋_GB2312"/>
          <w:color w:val="000000"/>
        </w:rPr>
      </w:pPr>
    </w:p>
    <w:p w14:paraId="67A74192">
      <w:pPr>
        <w:spacing w:line="180" w:lineRule="auto"/>
        <w:ind w:firstLine="4760" w:firstLineChars="1700"/>
        <w:rPr>
          <w:rFonts w:ascii="仿宋_GB2312" w:eastAsia="仿宋_GB2312"/>
          <w:color w:val="000000"/>
        </w:rPr>
      </w:pPr>
    </w:p>
    <w:p w14:paraId="7C219146">
      <w:pPr>
        <w:spacing w:line="180" w:lineRule="auto"/>
        <w:ind w:firstLine="4760" w:firstLineChars="1700"/>
        <w:rPr>
          <w:rFonts w:ascii="仿宋_GB2312" w:eastAsia="仿宋_GB2312"/>
          <w:color w:val="000000"/>
        </w:rPr>
      </w:pPr>
    </w:p>
    <w:p w14:paraId="191F23D0">
      <w:pPr>
        <w:spacing w:line="180" w:lineRule="auto"/>
        <w:ind w:firstLine="4760" w:firstLineChars="1700"/>
        <w:rPr>
          <w:rFonts w:ascii="仿宋_GB2312" w:eastAsia="仿宋_GB2312"/>
          <w:color w:val="000000"/>
        </w:rPr>
      </w:pPr>
    </w:p>
    <w:p w14:paraId="3CF2108F">
      <w:pPr>
        <w:spacing w:line="180" w:lineRule="auto"/>
        <w:ind w:firstLine="4760" w:firstLineChars="1700"/>
        <w:rPr>
          <w:rFonts w:ascii="仿宋_GB2312" w:eastAsia="仿宋_GB2312"/>
          <w:color w:val="000000"/>
        </w:rPr>
      </w:pPr>
    </w:p>
    <w:p w14:paraId="7C8E9263">
      <w:pPr>
        <w:spacing w:line="180" w:lineRule="auto"/>
        <w:ind w:firstLine="4760" w:firstLineChars="1700"/>
        <w:rPr>
          <w:rFonts w:ascii="仿宋_GB2312" w:eastAsia="仿宋_GB2312"/>
          <w:color w:val="000000"/>
        </w:rPr>
      </w:pPr>
    </w:p>
    <w:p w14:paraId="34D38D8A">
      <w:pPr>
        <w:spacing w:line="180" w:lineRule="auto"/>
        <w:ind w:firstLine="4760" w:firstLineChars="1700"/>
        <w:rPr>
          <w:rFonts w:ascii="仿宋_GB2312" w:eastAsia="仿宋_GB2312"/>
          <w:color w:val="000000"/>
        </w:rPr>
      </w:pPr>
    </w:p>
    <w:p w14:paraId="5BADE353">
      <w:pPr>
        <w:spacing w:line="180" w:lineRule="auto"/>
        <w:ind w:firstLine="4760" w:firstLineChars="1700"/>
        <w:rPr>
          <w:rFonts w:ascii="仿宋_GB2312" w:eastAsia="仿宋_GB2312"/>
          <w:color w:val="000000"/>
        </w:rPr>
      </w:pPr>
    </w:p>
    <w:p w14:paraId="2225050E">
      <w:pPr>
        <w:spacing w:line="180" w:lineRule="auto"/>
        <w:ind w:firstLine="4760" w:firstLineChars="1700"/>
        <w:rPr>
          <w:rFonts w:ascii="仿宋_GB2312" w:eastAsia="仿宋_GB2312"/>
          <w:color w:val="000000"/>
        </w:rPr>
      </w:pPr>
    </w:p>
    <w:p w14:paraId="2FD9750F">
      <w:pPr>
        <w:spacing w:line="180" w:lineRule="auto"/>
        <w:ind w:firstLine="4760" w:firstLineChars="1700"/>
        <w:rPr>
          <w:rFonts w:ascii="仿宋_GB2312" w:eastAsia="仿宋_GB2312"/>
          <w:color w:val="000000"/>
        </w:rPr>
      </w:pPr>
    </w:p>
    <w:p w14:paraId="419034DF">
      <w:pPr>
        <w:spacing w:line="180" w:lineRule="auto"/>
        <w:rPr>
          <w:rFonts w:ascii="仿宋_GB2312" w:eastAsia="仿宋_GB2312"/>
          <w:color w:val="000000"/>
        </w:rPr>
      </w:pPr>
    </w:p>
    <w:sectPr>
      <w:footerReference r:id="rId10" w:type="first"/>
      <w:headerReference r:id="rId6" w:type="default"/>
      <w:footerReference r:id="rId8" w:type="default"/>
      <w:headerReference r:id="rId7" w:type="even"/>
      <w:footerReference r:id="rId9" w:type="even"/>
      <w:pgSz w:w="11906" w:h="16838"/>
      <w:pgMar w:top="1440" w:right="1134" w:bottom="1440" w:left="1134"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512F">
    <w:pPr>
      <w:pStyle w:val="6"/>
      <w:ind w:right="360"/>
    </w:pPr>
    <w:r>
      <w:rPr>
        <w:rFonts w:hint="eastAsia"/>
      </w:rPr>
      <w:t xml:space="preserve">                                         电话：0535——2287856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4CE6">
    <w:pPr>
      <w:pStyle w:val="6"/>
      <w:ind w:right="360"/>
    </w:pPr>
    <w:r>
      <w:rPr>
        <w:rFonts w:hint="eastAsia"/>
      </w:rPr>
      <w:t xml:space="preserve">                                         电话：0535——2287856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FB81">
    <w:pPr>
      <w:pStyle w:val="6"/>
      <w:ind w:right="360"/>
    </w:pPr>
    <w:r>
      <w:rPr>
        <w:rFonts w:hint="eastAsia"/>
      </w:rPr>
      <w:t xml:space="preserve">                                         电话：0535——2287856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6DE2">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C415A1">
                          <w:pPr>
                            <w:pStyle w:val="6"/>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4C415A1">
                    <w:pPr>
                      <w:pStyle w:val="6"/>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电话：0535——2287856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10F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14:paraId="706DDAA2">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D950">
    <w:pPr>
      <w:pStyle w:val="6"/>
    </w:pPr>
    <w:r>
      <w:rPr>
        <w:rFonts w:hint="eastAsia"/>
      </w:rPr>
      <w:t xml:space="preserve">                                         电话：0535——2287856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0CF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D2F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A6EAC"/>
    <w:multiLevelType w:val="singleLevel"/>
    <w:tmpl w:val="EFEA6EAC"/>
    <w:lvl w:ilvl="0" w:tentative="0">
      <w:start w:val="1"/>
      <w:numFmt w:val="chineseCounting"/>
      <w:suff w:val="nothing"/>
      <w:lvlText w:val="（%1）"/>
      <w:lvlJc w:val="left"/>
      <w:rPr>
        <w:rFonts w:hint="eastAsia"/>
      </w:rPr>
    </w:lvl>
  </w:abstractNum>
  <w:abstractNum w:abstractNumId="1">
    <w:nsid w:val="F12DD972"/>
    <w:multiLevelType w:val="singleLevel"/>
    <w:tmpl w:val="F12DD972"/>
    <w:lvl w:ilvl="0" w:tentative="0">
      <w:start w:val="2"/>
      <w:numFmt w:val="chineseCounting"/>
      <w:suff w:val="nothing"/>
      <w:lvlText w:val="%1、"/>
      <w:lvlJc w:val="left"/>
      <w:pPr>
        <w:ind w:left="-2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jg1ZGU1ZDIyNGY2YzI4Yzc0ZmVkM2FhYTJjMjAifQ=="/>
  </w:docVars>
  <w:rsids>
    <w:rsidRoot w:val="00172A27"/>
    <w:rsid w:val="000000D9"/>
    <w:rsid w:val="00002100"/>
    <w:rsid w:val="00002B52"/>
    <w:rsid w:val="00003600"/>
    <w:rsid w:val="0000513C"/>
    <w:rsid w:val="00006F72"/>
    <w:rsid w:val="00014673"/>
    <w:rsid w:val="00016E24"/>
    <w:rsid w:val="00017430"/>
    <w:rsid w:val="00025F63"/>
    <w:rsid w:val="00027DC5"/>
    <w:rsid w:val="0003093C"/>
    <w:rsid w:val="00032D9D"/>
    <w:rsid w:val="000334D5"/>
    <w:rsid w:val="00035FDB"/>
    <w:rsid w:val="00037EC9"/>
    <w:rsid w:val="000457C1"/>
    <w:rsid w:val="00047C48"/>
    <w:rsid w:val="0005163F"/>
    <w:rsid w:val="00053132"/>
    <w:rsid w:val="000544DD"/>
    <w:rsid w:val="00055798"/>
    <w:rsid w:val="000559FA"/>
    <w:rsid w:val="0005672B"/>
    <w:rsid w:val="00057E1A"/>
    <w:rsid w:val="00061E6F"/>
    <w:rsid w:val="00071E70"/>
    <w:rsid w:val="000765FF"/>
    <w:rsid w:val="000807F2"/>
    <w:rsid w:val="0008778E"/>
    <w:rsid w:val="000A12CD"/>
    <w:rsid w:val="000A3541"/>
    <w:rsid w:val="000A6EAA"/>
    <w:rsid w:val="000B2AD0"/>
    <w:rsid w:val="000B33C1"/>
    <w:rsid w:val="000B7262"/>
    <w:rsid w:val="000D3D3E"/>
    <w:rsid w:val="000D57A4"/>
    <w:rsid w:val="000D5F6A"/>
    <w:rsid w:val="000D7A31"/>
    <w:rsid w:val="000E2CC5"/>
    <w:rsid w:val="000F0F9E"/>
    <w:rsid w:val="000F1819"/>
    <w:rsid w:val="000F3BD1"/>
    <w:rsid w:val="000F43D8"/>
    <w:rsid w:val="000F4E84"/>
    <w:rsid w:val="000F5B63"/>
    <w:rsid w:val="00100812"/>
    <w:rsid w:val="00102AE5"/>
    <w:rsid w:val="0010451B"/>
    <w:rsid w:val="001053D1"/>
    <w:rsid w:val="00107067"/>
    <w:rsid w:val="001105F6"/>
    <w:rsid w:val="00111E1F"/>
    <w:rsid w:val="00116457"/>
    <w:rsid w:val="0012248E"/>
    <w:rsid w:val="00123FE9"/>
    <w:rsid w:val="001254A6"/>
    <w:rsid w:val="0013050F"/>
    <w:rsid w:val="00132809"/>
    <w:rsid w:val="00136D5A"/>
    <w:rsid w:val="00140672"/>
    <w:rsid w:val="00142020"/>
    <w:rsid w:val="0014372A"/>
    <w:rsid w:val="001509A6"/>
    <w:rsid w:val="00153E03"/>
    <w:rsid w:val="00157648"/>
    <w:rsid w:val="00160C4E"/>
    <w:rsid w:val="001612A8"/>
    <w:rsid w:val="00164709"/>
    <w:rsid w:val="0016496B"/>
    <w:rsid w:val="00170648"/>
    <w:rsid w:val="00171A95"/>
    <w:rsid w:val="00171E1F"/>
    <w:rsid w:val="00172A27"/>
    <w:rsid w:val="00172A37"/>
    <w:rsid w:val="00175DE6"/>
    <w:rsid w:val="00176E7F"/>
    <w:rsid w:val="00184D0E"/>
    <w:rsid w:val="00184DD9"/>
    <w:rsid w:val="00195839"/>
    <w:rsid w:val="00195C63"/>
    <w:rsid w:val="001A0211"/>
    <w:rsid w:val="001A1A00"/>
    <w:rsid w:val="001A2C70"/>
    <w:rsid w:val="001A3663"/>
    <w:rsid w:val="001A48C7"/>
    <w:rsid w:val="001A4C84"/>
    <w:rsid w:val="001A5B51"/>
    <w:rsid w:val="001A66CC"/>
    <w:rsid w:val="001B0B68"/>
    <w:rsid w:val="001B623A"/>
    <w:rsid w:val="001B68C4"/>
    <w:rsid w:val="001B6B18"/>
    <w:rsid w:val="001B6C49"/>
    <w:rsid w:val="001C7C0F"/>
    <w:rsid w:val="001D60BE"/>
    <w:rsid w:val="001E0966"/>
    <w:rsid w:val="001E0972"/>
    <w:rsid w:val="001E0A51"/>
    <w:rsid w:val="001E18C1"/>
    <w:rsid w:val="001E2A5C"/>
    <w:rsid w:val="001E334E"/>
    <w:rsid w:val="001E5A49"/>
    <w:rsid w:val="001E6C58"/>
    <w:rsid w:val="001E786D"/>
    <w:rsid w:val="00211499"/>
    <w:rsid w:val="00212C31"/>
    <w:rsid w:val="00220A7E"/>
    <w:rsid w:val="00222D91"/>
    <w:rsid w:val="00226162"/>
    <w:rsid w:val="00226451"/>
    <w:rsid w:val="002273B0"/>
    <w:rsid w:val="0023601B"/>
    <w:rsid w:val="00242EDB"/>
    <w:rsid w:val="0024420B"/>
    <w:rsid w:val="00244BFB"/>
    <w:rsid w:val="00253481"/>
    <w:rsid w:val="0025742B"/>
    <w:rsid w:val="00260CA6"/>
    <w:rsid w:val="00260E20"/>
    <w:rsid w:val="002640CB"/>
    <w:rsid w:val="00264270"/>
    <w:rsid w:val="00264861"/>
    <w:rsid w:val="00266057"/>
    <w:rsid w:val="00267685"/>
    <w:rsid w:val="00276EC8"/>
    <w:rsid w:val="002773CF"/>
    <w:rsid w:val="00277919"/>
    <w:rsid w:val="00280C37"/>
    <w:rsid w:val="00281C43"/>
    <w:rsid w:val="00286D39"/>
    <w:rsid w:val="00295F00"/>
    <w:rsid w:val="002A047E"/>
    <w:rsid w:val="002A5DE2"/>
    <w:rsid w:val="002A6456"/>
    <w:rsid w:val="002B1BB0"/>
    <w:rsid w:val="002B4369"/>
    <w:rsid w:val="002D06A2"/>
    <w:rsid w:val="002D784F"/>
    <w:rsid w:val="002E44F9"/>
    <w:rsid w:val="002E45BA"/>
    <w:rsid w:val="002F6F45"/>
    <w:rsid w:val="0030006F"/>
    <w:rsid w:val="00301E39"/>
    <w:rsid w:val="003058AC"/>
    <w:rsid w:val="00306CD8"/>
    <w:rsid w:val="0030729A"/>
    <w:rsid w:val="00313A2F"/>
    <w:rsid w:val="003159B2"/>
    <w:rsid w:val="00320D83"/>
    <w:rsid w:val="00326C6B"/>
    <w:rsid w:val="00332AB6"/>
    <w:rsid w:val="00334214"/>
    <w:rsid w:val="00336774"/>
    <w:rsid w:val="00336E4D"/>
    <w:rsid w:val="00343A52"/>
    <w:rsid w:val="00345397"/>
    <w:rsid w:val="003635D1"/>
    <w:rsid w:val="00364073"/>
    <w:rsid w:val="00365602"/>
    <w:rsid w:val="00376589"/>
    <w:rsid w:val="00381AC5"/>
    <w:rsid w:val="00384342"/>
    <w:rsid w:val="00385095"/>
    <w:rsid w:val="00387D22"/>
    <w:rsid w:val="00392F85"/>
    <w:rsid w:val="003A3B6C"/>
    <w:rsid w:val="003A7702"/>
    <w:rsid w:val="003B0420"/>
    <w:rsid w:val="003B0F82"/>
    <w:rsid w:val="003B3DFD"/>
    <w:rsid w:val="003C41DB"/>
    <w:rsid w:val="003C7196"/>
    <w:rsid w:val="003C7BAE"/>
    <w:rsid w:val="003D0946"/>
    <w:rsid w:val="003E1FCA"/>
    <w:rsid w:val="003E2E48"/>
    <w:rsid w:val="003E48CC"/>
    <w:rsid w:val="003F093A"/>
    <w:rsid w:val="003F2A89"/>
    <w:rsid w:val="003F37BC"/>
    <w:rsid w:val="00411020"/>
    <w:rsid w:val="004209C6"/>
    <w:rsid w:val="00427CFA"/>
    <w:rsid w:val="00427D57"/>
    <w:rsid w:val="004330F1"/>
    <w:rsid w:val="00433322"/>
    <w:rsid w:val="0044104D"/>
    <w:rsid w:val="0044130F"/>
    <w:rsid w:val="004433BA"/>
    <w:rsid w:val="0044347D"/>
    <w:rsid w:val="00446BBC"/>
    <w:rsid w:val="004500DE"/>
    <w:rsid w:val="004508B1"/>
    <w:rsid w:val="0045153C"/>
    <w:rsid w:val="00460223"/>
    <w:rsid w:val="00460A5C"/>
    <w:rsid w:val="00464F4D"/>
    <w:rsid w:val="00465CB4"/>
    <w:rsid w:val="00467343"/>
    <w:rsid w:val="00473F04"/>
    <w:rsid w:val="0047419E"/>
    <w:rsid w:val="00474FAF"/>
    <w:rsid w:val="00475AC5"/>
    <w:rsid w:val="00477901"/>
    <w:rsid w:val="00486823"/>
    <w:rsid w:val="004879DF"/>
    <w:rsid w:val="004910C9"/>
    <w:rsid w:val="004924A1"/>
    <w:rsid w:val="00494D43"/>
    <w:rsid w:val="00496FD4"/>
    <w:rsid w:val="004A0761"/>
    <w:rsid w:val="004A57F7"/>
    <w:rsid w:val="004B04FA"/>
    <w:rsid w:val="004B37AE"/>
    <w:rsid w:val="004B3835"/>
    <w:rsid w:val="004B50C8"/>
    <w:rsid w:val="004B52C3"/>
    <w:rsid w:val="004B57B0"/>
    <w:rsid w:val="004B6BF4"/>
    <w:rsid w:val="004C133A"/>
    <w:rsid w:val="004C5F1B"/>
    <w:rsid w:val="004D1153"/>
    <w:rsid w:val="004D35E1"/>
    <w:rsid w:val="004D3C84"/>
    <w:rsid w:val="004E59D8"/>
    <w:rsid w:val="004E6CE7"/>
    <w:rsid w:val="004F014A"/>
    <w:rsid w:val="004F12FD"/>
    <w:rsid w:val="004F58B5"/>
    <w:rsid w:val="004F6B50"/>
    <w:rsid w:val="005008EC"/>
    <w:rsid w:val="00502650"/>
    <w:rsid w:val="00510BB3"/>
    <w:rsid w:val="0051704E"/>
    <w:rsid w:val="0052312A"/>
    <w:rsid w:val="005231E8"/>
    <w:rsid w:val="0052606D"/>
    <w:rsid w:val="00527094"/>
    <w:rsid w:val="00527421"/>
    <w:rsid w:val="005301F2"/>
    <w:rsid w:val="00533425"/>
    <w:rsid w:val="005337FD"/>
    <w:rsid w:val="0053697E"/>
    <w:rsid w:val="00536BEE"/>
    <w:rsid w:val="00537168"/>
    <w:rsid w:val="005411BC"/>
    <w:rsid w:val="00541D75"/>
    <w:rsid w:val="005424A0"/>
    <w:rsid w:val="00542E1C"/>
    <w:rsid w:val="0054337D"/>
    <w:rsid w:val="00545D18"/>
    <w:rsid w:val="0055197C"/>
    <w:rsid w:val="005519AF"/>
    <w:rsid w:val="0055575C"/>
    <w:rsid w:val="005557D7"/>
    <w:rsid w:val="00561D74"/>
    <w:rsid w:val="005628C5"/>
    <w:rsid w:val="00565398"/>
    <w:rsid w:val="00570B1A"/>
    <w:rsid w:val="005824EF"/>
    <w:rsid w:val="00583A39"/>
    <w:rsid w:val="00586D93"/>
    <w:rsid w:val="00590162"/>
    <w:rsid w:val="00591DC4"/>
    <w:rsid w:val="0059423C"/>
    <w:rsid w:val="005A2432"/>
    <w:rsid w:val="005A2890"/>
    <w:rsid w:val="005A3AAC"/>
    <w:rsid w:val="005A5F93"/>
    <w:rsid w:val="005A7118"/>
    <w:rsid w:val="005B0C5D"/>
    <w:rsid w:val="005B139E"/>
    <w:rsid w:val="005B1AEB"/>
    <w:rsid w:val="005B35BE"/>
    <w:rsid w:val="005B38A6"/>
    <w:rsid w:val="005B45D5"/>
    <w:rsid w:val="005B56E9"/>
    <w:rsid w:val="005B7C5E"/>
    <w:rsid w:val="005C293D"/>
    <w:rsid w:val="005C3046"/>
    <w:rsid w:val="005C3656"/>
    <w:rsid w:val="005C71CE"/>
    <w:rsid w:val="005C7987"/>
    <w:rsid w:val="005D429C"/>
    <w:rsid w:val="005D7D33"/>
    <w:rsid w:val="005E098B"/>
    <w:rsid w:val="005E4324"/>
    <w:rsid w:val="005E46C0"/>
    <w:rsid w:val="005E5C5E"/>
    <w:rsid w:val="005E73D0"/>
    <w:rsid w:val="00605F41"/>
    <w:rsid w:val="00610F7D"/>
    <w:rsid w:val="006133B0"/>
    <w:rsid w:val="00613972"/>
    <w:rsid w:val="00613A23"/>
    <w:rsid w:val="00614741"/>
    <w:rsid w:val="0061554D"/>
    <w:rsid w:val="006156FF"/>
    <w:rsid w:val="00616439"/>
    <w:rsid w:val="0061735A"/>
    <w:rsid w:val="00621557"/>
    <w:rsid w:val="00624B70"/>
    <w:rsid w:val="00631846"/>
    <w:rsid w:val="006366C6"/>
    <w:rsid w:val="00642AF2"/>
    <w:rsid w:val="00643237"/>
    <w:rsid w:val="00647E7B"/>
    <w:rsid w:val="006515AA"/>
    <w:rsid w:val="00652706"/>
    <w:rsid w:val="00654FB4"/>
    <w:rsid w:val="00656CA4"/>
    <w:rsid w:val="00661037"/>
    <w:rsid w:val="00661936"/>
    <w:rsid w:val="00662D8B"/>
    <w:rsid w:val="006640DF"/>
    <w:rsid w:val="00674AD5"/>
    <w:rsid w:val="00675047"/>
    <w:rsid w:val="00675847"/>
    <w:rsid w:val="00676942"/>
    <w:rsid w:val="00683750"/>
    <w:rsid w:val="00684AEB"/>
    <w:rsid w:val="00691E60"/>
    <w:rsid w:val="006A374F"/>
    <w:rsid w:val="006A676B"/>
    <w:rsid w:val="006B6276"/>
    <w:rsid w:val="006D1C13"/>
    <w:rsid w:val="006D2DB2"/>
    <w:rsid w:val="006D409F"/>
    <w:rsid w:val="006D767F"/>
    <w:rsid w:val="006E0C56"/>
    <w:rsid w:val="006E1A7D"/>
    <w:rsid w:val="006E4EA2"/>
    <w:rsid w:val="006E764D"/>
    <w:rsid w:val="006F7F58"/>
    <w:rsid w:val="0070207E"/>
    <w:rsid w:val="0070771E"/>
    <w:rsid w:val="00712DC4"/>
    <w:rsid w:val="00713C27"/>
    <w:rsid w:val="007140F4"/>
    <w:rsid w:val="00715136"/>
    <w:rsid w:val="00716609"/>
    <w:rsid w:val="0072559F"/>
    <w:rsid w:val="00725BA5"/>
    <w:rsid w:val="00726647"/>
    <w:rsid w:val="00730B66"/>
    <w:rsid w:val="0073126D"/>
    <w:rsid w:val="0073262A"/>
    <w:rsid w:val="00745B30"/>
    <w:rsid w:val="0074601B"/>
    <w:rsid w:val="00750ED1"/>
    <w:rsid w:val="00752864"/>
    <w:rsid w:val="0075331C"/>
    <w:rsid w:val="00755D6B"/>
    <w:rsid w:val="00763416"/>
    <w:rsid w:val="007654C9"/>
    <w:rsid w:val="00774C80"/>
    <w:rsid w:val="00774F99"/>
    <w:rsid w:val="00777621"/>
    <w:rsid w:val="00777783"/>
    <w:rsid w:val="007777A6"/>
    <w:rsid w:val="007856A4"/>
    <w:rsid w:val="00794F0D"/>
    <w:rsid w:val="007961F2"/>
    <w:rsid w:val="00797447"/>
    <w:rsid w:val="007A0D79"/>
    <w:rsid w:val="007A390A"/>
    <w:rsid w:val="007A661B"/>
    <w:rsid w:val="007A6649"/>
    <w:rsid w:val="007B018C"/>
    <w:rsid w:val="007B24BA"/>
    <w:rsid w:val="007B2862"/>
    <w:rsid w:val="007B3EA4"/>
    <w:rsid w:val="007B571C"/>
    <w:rsid w:val="007C1954"/>
    <w:rsid w:val="007C4CE6"/>
    <w:rsid w:val="007D2567"/>
    <w:rsid w:val="007D27EA"/>
    <w:rsid w:val="007D396B"/>
    <w:rsid w:val="007D6EDE"/>
    <w:rsid w:val="007E0EB4"/>
    <w:rsid w:val="007E2727"/>
    <w:rsid w:val="007E4CE1"/>
    <w:rsid w:val="007E6709"/>
    <w:rsid w:val="007F0222"/>
    <w:rsid w:val="007F3C0B"/>
    <w:rsid w:val="00800C3F"/>
    <w:rsid w:val="0080156F"/>
    <w:rsid w:val="00803AA8"/>
    <w:rsid w:val="0080468A"/>
    <w:rsid w:val="008065E6"/>
    <w:rsid w:val="00813E7C"/>
    <w:rsid w:val="0081586F"/>
    <w:rsid w:val="0081619B"/>
    <w:rsid w:val="008200AE"/>
    <w:rsid w:val="0082040E"/>
    <w:rsid w:val="0082050F"/>
    <w:rsid w:val="008238C4"/>
    <w:rsid w:val="0082483D"/>
    <w:rsid w:val="008252B8"/>
    <w:rsid w:val="008319E1"/>
    <w:rsid w:val="00831D24"/>
    <w:rsid w:val="00836A03"/>
    <w:rsid w:val="00837320"/>
    <w:rsid w:val="00840D4D"/>
    <w:rsid w:val="00845F37"/>
    <w:rsid w:val="00862868"/>
    <w:rsid w:val="00865E8C"/>
    <w:rsid w:val="00871582"/>
    <w:rsid w:val="00875813"/>
    <w:rsid w:val="00877165"/>
    <w:rsid w:val="00881541"/>
    <w:rsid w:val="0088173D"/>
    <w:rsid w:val="00882D3C"/>
    <w:rsid w:val="00883916"/>
    <w:rsid w:val="00884E52"/>
    <w:rsid w:val="00886ECF"/>
    <w:rsid w:val="00892971"/>
    <w:rsid w:val="00894FE2"/>
    <w:rsid w:val="008967C0"/>
    <w:rsid w:val="008A1456"/>
    <w:rsid w:val="008A147A"/>
    <w:rsid w:val="008A2BE1"/>
    <w:rsid w:val="008A3CA9"/>
    <w:rsid w:val="008A5037"/>
    <w:rsid w:val="008B2091"/>
    <w:rsid w:val="008B2861"/>
    <w:rsid w:val="008C0299"/>
    <w:rsid w:val="008C3BC5"/>
    <w:rsid w:val="008D1C9A"/>
    <w:rsid w:val="008D25C7"/>
    <w:rsid w:val="008D6412"/>
    <w:rsid w:val="008E238E"/>
    <w:rsid w:val="008E3EAA"/>
    <w:rsid w:val="008E4417"/>
    <w:rsid w:val="008E4A92"/>
    <w:rsid w:val="008E5FEE"/>
    <w:rsid w:val="008E7484"/>
    <w:rsid w:val="008F1D5E"/>
    <w:rsid w:val="008F34EC"/>
    <w:rsid w:val="008F39D6"/>
    <w:rsid w:val="008F51D0"/>
    <w:rsid w:val="008F5665"/>
    <w:rsid w:val="008F67D7"/>
    <w:rsid w:val="009004D1"/>
    <w:rsid w:val="0090308F"/>
    <w:rsid w:val="0090426F"/>
    <w:rsid w:val="009048E4"/>
    <w:rsid w:val="0090502D"/>
    <w:rsid w:val="00906E2A"/>
    <w:rsid w:val="00906F42"/>
    <w:rsid w:val="00920A19"/>
    <w:rsid w:val="00920B72"/>
    <w:rsid w:val="00927F13"/>
    <w:rsid w:val="009314A2"/>
    <w:rsid w:val="0093447A"/>
    <w:rsid w:val="00935F5A"/>
    <w:rsid w:val="00942EDB"/>
    <w:rsid w:val="00943D92"/>
    <w:rsid w:val="009459D3"/>
    <w:rsid w:val="00952DCD"/>
    <w:rsid w:val="0095318A"/>
    <w:rsid w:val="009560F1"/>
    <w:rsid w:val="00956AE0"/>
    <w:rsid w:val="009605BD"/>
    <w:rsid w:val="00960763"/>
    <w:rsid w:val="009637AE"/>
    <w:rsid w:val="009645D4"/>
    <w:rsid w:val="00964AB4"/>
    <w:rsid w:val="009714B0"/>
    <w:rsid w:val="00971F8E"/>
    <w:rsid w:val="009810C7"/>
    <w:rsid w:val="0098699B"/>
    <w:rsid w:val="00987CEA"/>
    <w:rsid w:val="009940D2"/>
    <w:rsid w:val="00997985"/>
    <w:rsid w:val="009A4276"/>
    <w:rsid w:val="009B0D90"/>
    <w:rsid w:val="009B1534"/>
    <w:rsid w:val="009B1749"/>
    <w:rsid w:val="009B3DE1"/>
    <w:rsid w:val="009B5095"/>
    <w:rsid w:val="009B519D"/>
    <w:rsid w:val="009C11CD"/>
    <w:rsid w:val="009C496B"/>
    <w:rsid w:val="009C6E63"/>
    <w:rsid w:val="009D2471"/>
    <w:rsid w:val="009D5A2D"/>
    <w:rsid w:val="009E09DB"/>
    <w:rsid w:val="009E4565"/>
    <w:rsid w:val="009F5882"/>
    <w:rsid w:val="009F6691"/>
    <w:rsid w:val="009F67E3"/>
    <w:rsid w:val="00A0187B"/>
    <w:rsid w:val="00A12645"/>
    <w:rsid w:val="00A1586E"/>
    <w:rsid w:val="00A215F6"/>
    <w:rsid w:val="00A449CB"/>
    <w:rsid w:val="00A44BE3"/>
    <w:rsid w:val="00A46E3C"/>
    <w:rsid w:val="00A613A0"/>
    <w:rsid w:val="00A65298"/>
    <w:rsid w:val="00A65D1C"/>
    <w:rsid w:val="00A66EDB"/>
    <w:rsid w:val="00A7101D"/>
    <w:rsid w:val="00A80512"/>
    <w:rsid w:val="00A834E8"/>
    <w:rsid w:val="00A84BDE"/>
    <w:rsid w:val="00A85F32"/>
    <w:rsid w:val="00A862BD"/>
    <w:rsid w:val="00A92B4C"/>
    <w:rsid w:val="00A9361E"/>
    <w:rsid w:val="00AA0711"/>
    <w:rsid w:val="00AA52BF"/>
    <w:rsid w:val="00AA55A1"/>
    <w:rsid w:val="00AB2C18"/>
    <w:rsid w:val="00AB33C4"/>
    <w:rsid w:val="00AB553A"/>
    <w:rsid w:val="00AB5826"/>
    <w:rsid w:val="00AC04AE"/>
    <w:rsid w:val="00AC0FAE"/>
    <w:rsid w:val="00AC5B1D"/>
    <w:rsid w:val="00AC6540"/>
    <w:rsid w:val="00AD0CE1"/>
    <w:rsid w:val="00AD13D8"/>
    <w:rsid w:val="00AD1953"/>
    <w:rsid w:val="00AD3544"/>
    <w:rsid w:val="00AD678B"/>
    <w:rsid w:val="00AE08BB"/>
    <w:rsid w:val="00AE0D22"/>
    <w:rsid w:val="00AE1BA5"/>
    <w:rsid w:val="00AE29E1"/>
    <w:rsid w:val="00AE4260"/>
    <w:rsid w:val="00AE4438"/>
    <w:rsid w:val="00AF1A2C"/>
    <w:rsid w:val="00AF48AB"/>
    <w:rsid w:val="00AF497B"/>
    <w:rsid w:val="00AF4CC5"/>
    <w:rsid w:val="00B015A3"/>
    <w:rsid w:val="00B045A2"/>
    <w:rsid w:val="00B056DB"/>
    <w:rsid w:val="00B06913"/>
    <w:rsid w:val="00B07F26"/>
    <w:rsid w:val="00B1190F"/>
    <w:rsid w:val="00B200DE"/>
    <w:rsid w:val="00B216B7"/>
    <w:rsid w:val="00B2183E"/>
    <w:rsid w:val="00B23D01"/>
    <w:rsid w:val="00B25A12"/>
    <w:rsid w:val="00B27A60"/>
    <w:rsid w:val="00B31913"/>
    <w:rsid w:val="00B31FED"/>
    <w:rsid w:val="00B32071"/>
    <w:rsid w:val="00B45699"/>
    <w:rsid w:val="00B53BD5"/>
    <w:rsid w:val="00B54B76"/>
    <w:rsid w:val="00B62FA1"/>
    <w:rsid w:val="00B63619"/>
    <w:rsid w:val="00B65CBD"/>
    <w:rsid w:val="00B721FC"/>
    <w:rsid w:val="00B82B5B"/>
    <w:rsid w:val="00B83582"/>
    <w:rsid w:val="00B86DC7"/>
    <w:rsid w:val="00B87B60"/>
    <w:rsid w:val="00B95E82"/>
    <w:rsid w:val="00BA1369"/>
    <w:rsid w:val="00BA2581"/>
    <w:rsid w:val="00BA7E2F"/>
    <w:rsid w:val="00BB35D0"/>
    <w:rsid w:val="00BB5950"/>
    <w:rsid w:val="00BB5D0B"/>
    <w:rsid w:val="00BC1B0D"/>
    <w:rsid w:val="00BC370C"/>
    <w:rsid w:val="00BC4536"/>
    <w:rsid w:val="00BC7BEA"/>
    <w:rsid w:val="00BC7DE7"/>
    <w:rsid w:val="00BD0E38"/>
    <w:rsid w:val="00BE2285"/>
    <w:rsid w:val="00BE4AEF"/>
    <w:rsid w:val="00BE7957"/>
    <w:rsid w:val="00BE7E19"/>
    <w:rsid w:val="00BF1438"/>
    <w:rsid w:val="00BF6DFC"/>
    <w:rsid w:val="00C06113"/>
    <w:rsid w:val="00C06940"/>
    <w:rsid w:val="00C07C8A"/>
    <w:rsid w:val="00C11933"/>
    <w:rsid w:val="00C15871"/>
    <w:rsid w:val="00C213C6"/>
    <w:rsid w:val="00C22385"/>
    <w:rsid w:val="00C320AD"/>
    <w:rsid w:val="00C3345B"/>
    <w:rsid w:val="00C335BF"/>
    <w:rsid w:val="00C34897"/>
    <w:rsid w:val="00C50D3D"/>
    <w:rsid w:val="00C613EA"/>
    <w:rsid w:val="00C63440"/>
    <w:rsid w:val="00C70B18"/>
    <w:rsid w:val="00C765C6"/>
    <w:rsid w:val="00C77E89"/>
    <w:rsid w:val="00C82E39"/>
    <w:rsid w:val="00C85D6D"/>
    <w:rsid w:val="00C90FC7"/>
    <w:rsid w:val="00C9165B"/>
    <w:rsid w:val="00C91739"/>
    <w:rsid w:val="00C950E7"/>
    <w:rsid w:val="00CA16B0"/>
    <w:rsid w:val="00CA2FF5"/>
    <w:rsid w:val="00CA3C68"/>
    <w:rsid w:val="00CA53C3"/>
    <w:rsid w:val="00CA66D6"/>
    <w:rsid w:val="00CA783B"/>
    <w:rsid w:val="00CB04B4"/>
    <w:rsid w:val="00CB40CB"/>
    <w:rsid w:val="00CB7CD0"/>
    <w:rsid w:val="00CC0074"/>
    <w:rsid w:val="00CC3DC5"/>
    <w:rsid w:val="00CC542D"/>
    <w:rsid w:val="00CC5438"/>
    <w:rsid w:val="00CC6654"/>
    <w:rsid w:val="00CD08FC"/>
    <w:rsid w:val="00CD4F34"/>
    <w:rsid w:val="00CD58EF"/>
    <w:rsid w:val="00CE3F60"/>
    <w:rsid w:val="00CE557A"/>
    <w:rsid w:val="00CE7974"/>
    <w:rsid w:val="00CF3842"/>
    <w:rsid w:val="00CF5E7A"/>
    <w:rsid w:val="00CF6B22"/>
    <w:rsid w:val="00CF712A"/>
    <w:rsid w:val="00D03010"/>
    <w:rsid w:val="00D05232"/>
    <w:rsid w:val="00D06FA9"/>
    <w:rsid w:val="00D1089E"/>
    <w:rsid w:val="00D16CE0"/>
    <w:rsid w:val="00D21BB1"/>
    <w:rsid w:val="00D229F4"/>
    <w:rsid w:val="00D24DF7"/>
    <w:rsid w:val="00D31298"/>
    <w:rsid w:val="00D3139E"/>
    <w:rsid w:val="00D41ECE"/>
    <w:rsid w:val="00D45248"/>
    <w:rsid w:val="00D45FB8"/>
    <w:rsid w:val="00D4607C"/>
    <w:rsid w:val="00D504E3"/>
    <w:rsid w:val="00D5680B"/>
    <w:rsid w:val="00D60214"/>
    <w:rsid w:val="00D61199"/>
    <w:rsid w:val="00D62457"/>
    <w:rsid w:val="00D6382E"/>
    <w:rsid w:val="00D702E7"/>
    <w:rsid w:val="00D719BA"/>
    <w:rsid w:val="00D737AD"/>
    <w:rsid w:val="00D74BDD"/>
    <w:rsid w:val="00D75E6C"/>
    <w:rsid w:val="00D84F49"/>
    <w:rsid w:val="00D858C2"/>
    <w:rsid w:val="00D86FB3"/>
    <w:rsid w:val="00D8785B"/>
    <w:rsid w:val="00D87EF4"/>
    <w:rsid w:val="00D9295B"/>
    <w:rsid w:val="00D9564B"/>
    <w:rsid w:val="00D95C50"/>
    <w:rsid w:val="00DA4BAE"/>
    <w:rsid w:val="00DB15A9"/>
    <w:rsid w:val="00DB5352"/>
    <w:rsid w:val="00DB6789"/>
    <w:rsid w:val="00DB7FCB"/>
    <w:rsid w:val="00DE1D89"/>
    <w:rsid w:val="00DE26C0"/>
    <w:rsid w:val="00DF07F2"/>
    <w:rsid w:val="00E02E30"/>
    <w:rsid w:val="00E06A4A"/>
    <w:rsid w:val="00E108BF"/>
    <w:rsid w:val="00E10A6A"/>
    <w:rsid w:val="00E11460"/>
    <w:rsid w:val="00E1151D"/>
    <w:rsid w:val="00E13142"/>
    <w:rsid w:val="00E15D77"/>
    <w:rsid w:val="00E166B8"/>
    <w:rsid w:val="00E27A24"/>
    <w:rsid w:val="00E36725"/>
    <w:rsid w:val="00E3786B"/>
    <w:rsid w:val="00E37D1A"/>
    <w:rsid w:val="00E440ED"/>
    <w:rsid w:val="00E44129"/>
    <w:rsid w:val="00E454DE"/>
    <w:rsid w:val="00E6433F"/>
    <w:rsid w:val="00E663D6"/>
    <w:rsid w:val="00E721FE"/>
    <w:rsid w:val="00E72AAD"/>
    <w:rsid w:val="00E73C7D"/>
    <w:rsid w:val="00E74A8B"/>
    <w:rsid w:val="00E76169"/>
    <w:rsid w:val="00E846BE"/>
    <w:rsid w:val="00E85F5C"/>
    <w:rsid w:val="00E9121D"/>
    <w:rsid w:val="00E91921"/>
    <w:rsid w:val="00EA10E8"/>
    <w:rsid w:val="00EA270F"/>
    <w:rsid w:val="00EA2940"/>
    <w:rsid w:val="00EA302E"/>
    <w:rsid w:val="00EA5918"/>
    <w:rsid w:val="00EA69B0"/>
    <w:rsid w:val="00EB0018"/>
    <w:rsid w:val="00EB0844"/>
    <w:rsid w:val="00EB0CA3"/>
    <w:rsid w:val="00EC37C5"/>
    <w:rsid w:val="00EC3A52"/>
    <w:rsid w:val="00EC58C0"/>
    <w:rsid w:val="00EC7229"/>
    <w:rsid w:val="00EC7950"/>
    <w:rsid w:val="00ED1579"/>
    <w:rsid w:val="00ED15C2"/>
    <w:rsid w:val="00ED1C71"/>
    <w:rsid w:val="00ED2011"/>
    <w:rsid w:val="00ED215F"/>
    <w:rsid w:val="00ED461F"/>
    <w:rsid w:val="00EE070C"/>
    <w:rsid w:val="00EE2C65"/>
    <w:rsid w:val="00EF0E71"/>
    <w:rsid w:val="00EF126D"/>
    <w:rsid w:val="00EF681E"/>
    <w:rsid w:val="00F04E3D"/>
    <w:rsid w:val="00F14713"/>
    <w:rsid w:val="00F23141"/>
    <w:rsid w:val="00F23658"/>
    <w:rsid w:val="00F32083"/>
    <w:rsid w:val="00F32E78"/>
    <w:rsid w:val="00F4324D"/>
    <w:rsid w:val="00F47A0D"/>
    <w:rsid w:val="00F47F7F"/>
    <w:rsid w:val="00F50A66"/>
    <w:rsid w:val="00F542CF"/>
    <w:rsid w:val="00F56A45"/>
    <w:rsid w:val="00F56D8D"/>
    <w:rsid w:val="00F60D86"/>
    <w:rsid w:val="00F6197E"/>
    <w:rsid w:val="00F62534"/>
    <w:rsid w:val="00F814FC"/>
    <w:rsid w:val="00F82B21"/>
    <w:rsid w:val="00F84A54"/>
    <w:rsid w:val="00F85F59"/>
    <w:rsid w:val="00F912B8"/>
    <w:rsid w:val="00F91512"/>
    <w:rsid w:val="00F95355"/>
    <w:rsid w:val="00FA61BB"/>
    <w:rsid w:val="00FA6271"/>
    <w:rsid w:val="00FA724F"/>
    <w:rsid w:val="00FB0D2A"/>
    <w:rsid w:val="00FB64FD"/>
    <w:rsid w:val="00FB6790"/>
    <w:rsid w:val="00FB76B0"/>
    <w:rsid w:val="00FC1867"/>
    <w:rsid w:val="00FC7A0D"/>
    <w:rsid w:val="00FD25EC"/>
    <w:rsid w:val="00FD2E52"/>
    <w:rsid w:val="00FE0FC7"/>
    <w:rsid w:val="00FE1D5E"/>
    <w:rsid w:val="00FE49A9"/>
    <w:rsid w:val="00FF3559"/>
    <w:rsid w:val="01EA0868"/>
    <w:rsid w:val="02E9654B"/>
    <w:rsid w:val="031F2543"/>
    <w:rsid w:val="033D6E94"/>
    <w:rsid w:val="04000094"/>
    <w:rsid w:val="040E324F"/>
    <w:rsid w:val="052E5BA6"/>
    <w:rsid w:val="061527A7"/>
    <w:rsid w:val="0650193D"/>
    <w:rsid w:val="065C148A"/>
    <w:rsid w:val="06AD58B3"/>
    <w:rsid w:val="071428F9"/>
    <w:rsid w:val="076928F4"/>
    <w:rsid w:val="076E51CC"/>
    <w:rsid w:val="07F25689"/>
    <w:rsid w:val="081B0782"/>
    <w:rsid w:val="08A0229A"/>
    <w:rsid w:val="09B211DC"/>
    <w:rsid w:val="0B561561"/>
    <w:rsid w:val="0C862479"/>
    <w:rsid w:val="0DC420B8"/>
    <w:rsid w:val="0DDE28B1"/>
    <w:rsid w:val="0EED27D6"/>
    <w:rsid w:val="0EFA14EC"/>
    <w:rsid w:val="0F42371A"/>
    <w:rsid w:val="0F47571A"/>
    <w:rsid w:val="0FAD5E79"/>
    <w:rsid w:val="10364B01"/>
    <w:rsid w:val="109F49A6"/>
    <w:rsid w:val="10BF5B5B"/>
    <w:rsid w:val="122863AA"/>
    <w:rsid w:val="1292013A"/>
    <w:rsid w:val="12C35D28"/>
    <w:rsid w:val="12DE6E99"/>
    <w:rsid w:val="13665F8D"/>
    <w:rsid w:val="148709EB"/>
    <w:rsid w:val="14B46A8F"/>
    <w:rsid w:val="155E4D63"/>
    <w:rsid w:val="15703F48"/>
    <w:rsid w:val="1587217B"/>
    <w:rsid w:val="16045D57"/>
    <w:rsid w:val="1626394B"/>
    <w:rsid w:val="17420153"/>
    <w:rsid w:val="17E57705"/>
    <w:rsid w:val="181D036D"/>
    <w:rsid w:val="18955E10"/>
    <w:rsid w:val="19712E49"/>
    <w:rsid w:val="19FB6F96"/>
    <w:rsid w:val="1BC61E54"/>
    <w:rsid w:val="1C2C58B8"/>
    <w:rsid w:val="1C5564D0"/>
    <w:rsid w:val="1CE94516"/>
    <w:rsid w:val="1D2B1953"/>
    <w:rsid w:val="1D537E40"/>
    <w:rsid w:val="1DF654FE"/>
    <w:rsid w:val="1E974B21"/>
    <w:rsid w:val="1F667FA3"/>
    <w:rsid w:val="1FCC75E6"/>
    <w:rsid w:val="1FE63B43"/>
    <w:rsid w:val="200A5671"/>
    <w:rsid w:val="209721F6"/>
    <w:rsid w:val="20997543"/>
    <w:rsid w:val="219251D4"/>
    <w:rsid w:val="22362520"/>
    <w:rsid w:val="226A1C98"/>
    <w:rsid w:val="230671D1"/>
    <w:rsid w:val="230D4183"/>
    <w:rsid w:val="240C4176"/>
    <w:rsid w:val="244D20DC"/>
    <w:rsid w:val="24CC0ED1"/>
    <w:rsid w:val="253E207A"/>
    <w:rsid w:val="25B918C2"/>
    <w:rsid w:val="25C421C0"/>
    <w:rsid w:val="25D942D9"/>
    <w:rsid w:val="265C756E"/>
    <w:rsid w:val="26A84C33"/>
    <w:rsid w:val="26BA5092"/>
    <w:rsid w:val="274B3E80"/>
    <w:rsid w:val="278F26A7"/>
    <w:rsid w:val="27B81FB9"/>
    <w:rsid w:val="289D2682"/>
    <w:rsid w:val="29F37806"/>
    <w:rsid w:val="2A463849"/>
    <w:rsid w:val="2A4E703B"/>
    <w:rsid w:val="2AEF71FD"/>
    <w:rsid w:val="2B5D30B4"/>
    <w:rsid w:val="2BAB6708"/>
    <w:rsid w:val="2D4A4B9B"/>
    <w:rsid w:val="2D6768B8"/>
    <w:rsid w:val="2DB467CD"/>
    <w:rsid w:val="2E7A53DF"/>
    <w:rsid w:val="2F076B1E"/>
    <w:rsid w:val="2F167891"/>
    <w:rsid w:val="2F2D51F3"/>
    <w:rsid w:val="2FCB6E87"/>
    <w:rsid w:val="30950D11"/>
    <w:rsid w:val="30EE64FA"/>
    <w:rsid w:val="31354991"/>
    <w:rsid w:val="317F4EB3"/>
    <w:rsid w:val="320A056F"/>
    <w:rsid w:val="328175E9"/>
    <w:rsid w:val="333D11A0"/>
    <w:rsid w:val="339C6082"/>
    <w:rsid w:val="33B80036"/>
    <w:rsid w:val="33C0312F"/>
    <w:rsid w:val="33D22D89"/>
    <w:rsid w:val="34264C69"/>
    <w:rsid w:val="35AA41C0"/>
    <w:rsid w:val="35D020E5"/>
    <w:rsid w:val="35D77E5F"/>
    <w:rsid w:val="36AA0871"/>
    <w:rsid w:val="37B17550"/>
    <w:rsid w:val="37CD1D19"/>
    <w:rsid w:val="381E1175"/>
    <w:rsid w:val="3890368D"/>
    <w:rsid w:val="38BA46C9"/>
    <w:rsid w:val="394D5BEF"/>
    <w:rsid w:val="39EB6763"/>
    <w:rsid w:val="3A4A5930"/>
    <w:rsid w:val="3BB749B6"/>
    <w:rsid w:val="3BBB41DC"/>
    <w:rsid w:val="3BDF5E97"/>
    <w:rsid w:val="3C077C32"/>
    <w:rsid w:val="3C62748F"/>
    <w:rsid w:val="3D0E2110"/>
    <w:rsid w:val="3F437C82"/>
    <w:rsid w:val="3F6B19BB"/>
    <w:rsid w:val="3F72514E"/>
    <w:rsid w:val="3FE46F39"/>
    <w:rsid w:val="411430D8"/>
    <w:rsid w:val="41A35107"/>
    <w:rsid w:val="421250AA"/>
    <w:rsid w:val="42D632CF"/>
    <w:rsid w:val="42E2799B"/>
    <w:rsid w:val="431F0122"/>
    <w:rsid w:val="433F0655"/>
    <w:rsid w:val="43746FFD"/>
    <w:rsid w:val="43E457F7"/>
    <w:rsid w:val="448E435E"/>
    <w:rsid w:val="44A855D8"/>
    <w:rsid w:val="44BC2B73"/>
    <w:rsid w:val="45534656"/>
    <w:rsid w:val="45544C17"/>
    <w:rsid w:val="45DD791C"/>
    <w:rsid w:val="4646657D"/>
    <w:rsid w:val="478A04B6"/>
    <w:rsid w:val="47FC3D52"/>
    <w:rsid w:val="488D243F"/>
    <w:rsid w:val="49233230"/>
    <w:rsid w:val="4AB43A96"/>
    <w:rsid w:val="4BCD6A7E"/>
    <w:rsid w:val="4CA444CA"/>
    <w:rsid w:val="4D0309EA"/>
    <w:rsid w:val="4E9315CE"/>
    <w:rsid w:val="4E950A53"/>
    <w:rsid w:val="502751F8"/>
    <w:rsid w:val="505B681D"/>
    <w:rsid w:val="5087333F"/>
    <w:rsid w:val="50E066F5"/>
    <w:rsid w:val="50EC10D0"/>
    <w:rsid w:val="51186012"/>
    <w:rsid w:val="511A22D0"/>
    <w:rsid w:val="51257DE9"/>
    <w:rsid w:val="51D876CE"/>
    <w:rsid w:val="522A28F4"/>
    <w:rsid w:val="52A14E43"/>
    <w:rsid w:val="52E55308"/>
    <w:rsid w:val="536650A9"/>
    <w:rsid w:val="53AB00EC"/>
    <w:rsid w:val="53B545C4"/>
    <w:rsid w:val="53C25237"/>
    <w:rsid w:val="53CE0664"/>
    <w:rsid w:val="53ED6640"/>
    <w:rsid w:val="542B60AB"/>
    <w:rsid w:val="549A388A"/>
    <w:rsid w:val="54BC3688"/>
    <w:rsid w:val="54E77EA7"/>
    <w:rsid w:val="56027917"/>
    <w:rsid w:val="560B3AD9"/>
    <w:rsid w:val="560E39C7"/>
    <w:rsid w:val="56607AD7"/>
    <w:rsid w:val="56D34D81"/>
    <w:rsid w:val="56E562C6"/>
    <w:rsid w:val="570D19B1"/>
    <w:rsid w:val="578E0FAB"/>
    <w:rsid w:val="57B56DE9"/>
    <w:rsid w:val="57F16554"/>
    <w:rsid w:val="58293299"/>
    <w:rsid w:val="58612E9F"/>
    <w:rsid w:val="586D0C1F"/>
    <w:rsid w:val="58A5764C"/>
    <w:rsid w:val="59E339F2"/>
    <w:rsid w:val="5A0A4964"/>
    <w:rsid w:val="5A536B29"/>
    <w:rsid w:val="5AA6103E"/>
    <w:rsid w:val="5AB47E00"/>
    <w:rsid w:val="5B524EDB"/>
    <w:rsid w:val="5C7128E9"/>
    <w:rsid w:val="5C8F7BF0"/>
    <w:rsid w:val="5CEA4374"/>
    <w:rsid w:val="5D3A08DA"/>
    <w:rsid w:val="5DD070A3"/>
    <w:rsid w:val="5E186544"/>
    <w:rsid w:val="5E785B73"/>
    <w:rsid w:val="5E7A2D4E"/>
    <w:rsid w:val="5EC40ED4"/>
    <w:rsid w:val="5F5F037F"/>
    <w:rsid w:val="5F6C101F"/>
    <w:rsid w:val="60E2791D"/>
    <w:rsid w:val="614D0817"/>
    <w:rsid w:val="61D82694"/>
    <w:rsid w:val="622D331E"/>
    <w:rsid w:val="623E7836"/>
    <w:rsid w:val="62426824"/>
    <w:rsid w:val="62446C16"/>
    <w:rsid w:val="629A307B"/>
    <w:rsid w:val="62BE154A"/>
    <w:rsid w:val="644529BF"/>
    <w:rsid w:val="64675B25"/>
    <w:rsid w:val="646A38D5"/>
    <w:rsid w:val="64E257F5"/>
    <w:rsid w:val="64E651E5"/>
    <w:rsid w:val="65951DFB"/>
    <w:rsid w:val="6660255F"/>
    <w:rsid w:val="668C3FCD"/>
    <w:rsid w:val="67047056"/>
    <w:rsid w:val="6707744E"/>
    <w:rsid w:val="675E5D7D"/>
    <w:rsid w:val="6843279B"/>
    <w:rsid w:val="6946690F"/>
    <w:rsid w:val="69654D80"/>
    <w:rsid w:val="69CC18C7"/>
    <w:rsid w:val="6A3E157D"/>
    <w:rsid w:val="6A594A0A"/>
    <w:rsid w:val="6B43082A"/>
    <w:rsid w:val="6B4B40E1"/>
    <w:rsid w:val="6BB46D09"/>
    <w:rsid w:val="6CAF0259"/>
    <w:rsid w:val="6D666E2C"/>
    <w:rsid w:val="6FE920E9"/>
    <w:rsid w:val="7008531B"/>
    <w:rsid w:val="701E1BC4"/>
    <w:rsid w:val="702644AE"/>
    <w:rsid w:val="70897E35"/>
    <w:rsid w:val="70C60A85"/>
    <w:rsid w:val="70FC060A"/>
    <w:rsid w:val="7177063D"/>
    <w:rsid w:val="71F556C3"/>
    <w:rsid w:val="73E13A18"/>
    <w:rsid w:val="73E22F72"/>
    <w:rsid w:val="743151D8"/>
    <w:rsid w:val="74340F53"/>
    <w:rsid w:val="74B61E05"/>
    <w:rsid w:val="74C643C1"/>
    <w:rsid w:val="75C34584"/>
    <w:rsid w:val="760B639A"/>
    <w:rsid w:val="767F6060"/>
    <w:rsid w:val="772511DB"/>
    <w:rsid w:val="774713B1"/>
    <w:rsid w:val="78C61574"/>
    <w:rsid w:val="79E46D46"/>
    <w:rsid w:val="79E62739"/>
    <w:rsid w:val="7B110F4B"/>
    <w:rsid w:val="7B354030"/>
    <w:rsid w:val="7BB657A5"/>
    <w:rsid w:val="7C2B6572"/>
    <w:rsid w:val="7C564EBF"/>
    <w:rsid w:val="7D0643C7"/>
    <w:rsid w:val="7D502CB8"/>
    <w:rsid w:val="7EEB2D58"/>
    <w:rsid w:val="7EED6C20"/>
    <w:rsid w:val="7F397687"/>
    <w:rsid w:val="7F723432"/>
    <w:rsid w:val="7F9753A5"/>
    <w:rsid w:val="7FA2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firstLine="420"/>
    </w:pPr>
    <w:rPr>
      <w:sz w:val="21"/>
    </w:rPr>
  </w:style>
  <w:style w:type="paragraph" w:styleId="3">
    <w:name w:val="Closing"/>
    <w:basedOn w:val="1"/>
    <w:autoRedefine/>
    <w:qFormat/>
    <w:uiPriority w:val="0"/>
    <w:pPr>
      <w:ind w:left="100" w:leftChars="2100"/>
    </w:pPr>
  </w:style>
  <w:style w:type="paragraph" w:styleId="4">
    <w:name w:val="Date"/>
    <w:basedOn w:val="1"/>
    <w:next w:val="1"/>
    <w:autoRedefine/>
    <w:qFormat/>
    <w:uiPriority w:val="0"/>
    <w:pPr>
      <w:ind w:left="100" w:leftChars="2500"/>
    </w:pPr>
  </w:style>
  <w:style w:type="paragraph" w:styleId="5">
    <w:name w:val="Balloon Text"/>
    <w:basedOn w:val="1"/>
    <w:autoRedefine/>
    <w:qFormat/>
    <w:uiPriority w:val="0"/>
    <w:rPr>
      <w:sz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tabs>
        <w:tab w:val="right" w:leader="dot" w:pos="9289"/>
      </w:tabs>
      <w:spacing w:line="480" w:lineRule="auto"/>
    </w:pPr>
    <w:rPr>
      <w:rFonts w:ascii="黑体" w:hAnsi="宋体" w:eastAsia="黑体"/>
      <w:b/>
      <w:bCs/>
      <w:color w:val="FF0000"/>
      <w:sz w:val="24"/>
      <w:szCs w:val="24"/>
    </w:rPr>
  </w:style>
  <w:style w:type="paragraph" w:styleId="9">
    <w:name w:val="toc 2"/>
    <w:basedOn w:val="1"/>
    <w:next w:val="1"/>
    <w:qFormat/>
    <w:uiPriority w:val="0"/>
    <w:pPr>
      <w:tabs>
        <w:tab w:val="right" w:leader="dot" w:pos="9345"/>
      </w:tabs>
      <w:adjustRightInd w:val="0"/>
      <w:spacing w:line="480" w:lineRule="auto"/>
      <w:ind w:left="480" w:leftChars="200"/>
      <w:jc w:val="left"/>
      <w:textAlignment w:val="baseline"/>
    </w:pPr>
    <w:rPr>
      <w:kern w:val="0"/>
      <w:sz w:val="24"/>
    </w:rPr>
  </w:style>
  <w:style w:type="character" w:styleId="12">
    <w:name w:val="page number"/>
    <w:autoRedefine/>
    <w:qFormat/>
    <w:uiPriority w:val="0"/>
  </w:style>
  <w:style w:type="character" w:styleId="13">
    <w:name w:val="FollowedHyperlink"/>
    <w:autoRedefine/>
    <w:qFormat/>
    <w:uiPriority w:val="0"/>
    <w:rPr>
      <w:color w:val="800080"/>
      <w:u w:val="single"/>
    </w:rPr>
  </w:style>
  <w:style w:type="character" w:styleId="14">
    <w:name w:val="Hyperlink"/>
    <w:autoRedefine/>
    <w:qFormat/>
    <w:uiPriority w:val="0"/>
    <w:rPr>
      <w:color w:val="0000FF"/>
      <w:u w:val="single"/>
    </w:rPr>
  </w:style>
  <w:style w:type="character" w:customStyle="1" w:styleId="15">
    <w:name w:val="font31"/>
    <w:qFormat/>
    <w:uiPriority w:val="0"/>
    <w:rPr>
      <w:rFonts w:hint="eastAsia" w:ascii="宋体" w:hAnsi="宋体" w:eastAsia="宋体" w:cs="宋体"/>
      <w:color w:val="000000"/>
      <w:sz w:val="22"/>
      <w:szCs w:val="22"/>
      <w:u w:val="none"/>
    </w:rPr>
  </w:style>
  <w:style w:type="character" w:customStyle="1" w:styleId="16">
    <w:name w:val="font41"/>
    <w:autoRedefine/>
    <w:qFormat/>
    <w:uiPriority w:val="0"/>
    <w:rPr>
      <w:rFonts w:hint="eastAsia" w:ascii="仿宋_GB2312" w:eastAsia="仿宋_GB2312" w:cs="仿宋_GB2312"/>
      <w:color w:val="000000"/>
      <w:sz w:val="22"/>
      <w:szCs w:val="22"/>
      <w:u w:val="none"/>
    </w:rPr>
  </w:style>
  <w:style w:type="paragraph" w:customStyle="1" w:styleId="17">
    <w:name w:val="reader-word-layer reader-word-s1-1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reader-word-layer reader-word-s1-1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2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2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reader-word-layer reader-word-s1-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reader-word-layer reader-word-s1-5 reader-word-s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reader-word-layer reader-word-s1-2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reader-word-layer reader-word-s3-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reader-word-layer reader-word-s3-2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reader-word-layer reader-word-s1-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reader-word-layer reader-word-s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reader-word-layer reader-word-s2-2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reader-word-layer reader-word-s2-1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926</Words>
  <Characters>1006</Characters>
  <Lines>43</Lines>
  <Paragraphs>12</Paragraphs>
  <TotalTime>2</TotalTime>
  <ScaleCrop>false</ScaleCrop>
  <LinksUpToDate>false</LinksUpToDate>
  <CharactersWithSpaces>1136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2022-07-05T01:32:00Z</dcterms:created>
  <dc:creator>微软用户</dc:creator>
  <cp:lastModifiedBy>姜文光</cp:lastModifiedBy>
  <cp:lastPrinted>2024-10-23T03:31:00Z</cp:lastPrinted>
  <dcterms:modified xsi:type="dcterms:W3CDTF">2024-11-29T01:59:18Z</dcterms:modified>
  <dc:title>房地产评估报告书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5C9D7D79048543159A7DC5457196CE41_13</vt:lpwstr>
  </property>
</Properties>
</file>