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宋体" w:hAnsi="宋体"/>
          <w:b/>
          <w:bCs/>
          <w:sz w:val="44"/>
        </w:rPr>
      </w:pPr>
      <w:r>
        <w:rPr>
          <w:rFonts w:hint="eastAsia" w:ascii="宋体" w:hAnsi="宋体"/>
          <w:b/>
          <w:bCs/>
          <w:sz w:val="44"/>
        </w:rPr>
        <w:t xml:space="preserve"> 涉执房地产处置司法评估报告</w:t>
      </w:r>
    </w:p>
    <w:p>
      <w:pPr>
        <w:spacing w:line="560" w:lineRule="exact"/>
        <w:jc w:val="center"/>
        <w:rPr>
          <w:rFonts w:hint="eastAsia" w:ascii="宋体" w:hAnsi="宋体"/>
          <w:b/>
          <w:bCs/>
          <w:sz w:val="44"/>
        </w:rPr>
      </w:pPr>
    </w:p>
    <w:p>
      <w:pPr>
        <w:spacing w:line="560" w:lineRule="exact"/>
        <w:jc w:val="center"/>
        <w:rPr>
          <w:rFonts w:hint="eastAsia" w:ascii="宋体" w:hAnsi="宋体"/>
          <w:b/>
          <w:bCs/>
          <w:sz w:val="44"/>
        </w:rPr>
      </w:pPr>
    </w:p>
    <w:p>
      <w:pPr>
        <w:spacing w:line="560" w:lineRule="exact"/>
        <w:ind w:left="2519" w:leftChars="170" w:hanging="2162" w:hangingChars="673"/>
        <w:rPr>
          <w:rFonts w:hint="eastAsia" w:ascii="宋体" w:hAnsi="宋体"/>
          <w:sz w:val="32"/>
        </w:rPr>
      </w:pPr>
      <w:r>
        <w:rPr>
          <w:rFonts w:hint="eastAsia" w:ascii="宋体" w:hAnsi="宋体"/>
          <w:b/>
          <w:bCs/>
          <w:sz w:val="32"/>
        </w:rPr>
        <w:t>估价项目名称：</w:t>
      </w:r>
      <w:r>
        <w:rPr>
          <w:rFonts w:hint="eastAsia" w:ascii="宋体" w:hAnsi="宋体"/>
          <w:sz w:val="32"/>
          <w:lang w:eastAsia="zh-CN"/>
        </w:rPr>
        <w:t>平罗县建设路北侧银北丽景13幢1单元401号(住宅）</w:t>
      </w:r>
      <w:r>
        <w:rPr>
          <w:rFonts w:hint="eastAsia" w:ascii="宋体" w:hAnsi="宋体"/>
          <w:sz w:val="32"/>
        </w:rPr>
        <w:t>房地产市场价值评估</w:t>
      </w:r>
    </w:p>
    <w:p>
      <w:pPr>
        <w:spacing w:line="560" w:lineRule="exact"/>
        <w:ind w:left="2688" w:leftChars="171" w:hanging="2329" w:hangingChars="728"/>
        <w:rPr>
          <w:rFonts w:hint="eastAsia" w:ascii="宋体" w:hAnsi="宋体"/>
          <w:sz w:val="32"/>
        </w:rPr>
      </w:pPr>
    </w:p>
    <w:p>
      <w:pPr>
        <w:spacing w:line="500" w:lineRule="exact"/>
        <w:ind w:left="3047" w:leftChars="171" w:hanging="2688" w:hangingChars="728"/>
        <w:rPr>
          <w:rFonts w:hint="eastAsia" w:ascii="宋体" w:hAnsi="宋体" w:eastAsia="宋体"/>
          <w:spacing w:val="-20"/>
          <w:sz w:val="32"/>
          <w:lang w:eastAsia="zh-CN"/>
        </w:rPr>
      </w:pPr>
      <w:r>
        <w:rPr>
          <w:rFonts w:hint="eastAsia" w:ascii="宋体" w:hAnsi="宋体"/>
          <w:b/>
          <w:bCs/>
          <w:spacing w:val="24"/>
          <w:sz w:val="32"/>
        </w:rPr>
        <w:t>估价委托人</w:t>
      </w:r>
      <w:r>
        <w:rPr>
          <w:rFonts w:hint="eastAsia" w:ascii="宋体" w:hAnsi="宋体"/>
          <w:b/>
          <w:bCs/>
          <w:sz w:val="32"/>
        </w:rPr>
        <w:t>：</w:t>
      </w:r>
      <w:r>
        <w:rPr>
          <w:rFonts w:hint="eastAsia" w:ascii="宋体" w:hAnsi="宋体"/>
          <w:spacing w:val="-20"/>
          <w:sz w:val="32"/>
          <w:lang w:eastAsia="zh-CN"/>
        </w:rPr>
        <w:t>平罗县人民法院</w:t>
      </w:r>
    </w:p>
    <w:p>
      <w:pPr>
        <w:spacing w:line="560" w:lineRule="exact"/>
        <w:ind w:left="2688" w:leftChars="171" w:hanging="2329" w:hangingChars="728"/>
        <w:rPr>
          <w:rFonts w:hint="eastAsia" w:ascii="宋体" w:hAnsi="宋体"/>
          <w:sz w:val="32"/>
        </w:rPr>
      </w:pPr>
    </w:p>
    <w:p>
      <w:pPr>
        <w:spacing w:line="560" w:lineRule="exact"/>
        <w:ind w:left="2698" w:leftChars="171" w:hanging="2339" w:hangingChars="728"/>
        <w:rPr>
          <w:rFonts w:hint="eastAsia" w:ascii="宋体" w:hAnsi="宋体"/>
          <w:sz w:val="32"/>
        </w:rPr>
      </w:pPr>
      <w:r>
        <w:rPr>
          <w:rFonts w:hint="eastAsia" w:ascii="宋体" w:hAnsi="宋体"/>
          <w:b/>
          <w:bCs/>
          <w:sz w:val="32"/>
        </w:rPr>
        <w:t>房地产估价机构：</w:t>
      </w:r>
      <w:r>
        <w:rPr>
          <w:rFonts w:hint="eastAsia" w:ascii="宋体" w:hAnsi="宋体"/>
          <w:sz w:val="32"/>
          <w:lang w:eastAsia="zh-CN"/>
        </w:rPr>
        <w:t>宁夏正达通房地产资产评估有限公司</w:t>
      </w:r>
    </w:p>
    <w:p>
      <w:pPr>
        <w:spacing w:line="560" w:lineRule="exact"/>
        <w:ind w:left="2688" w:leftChars="171" w:hanging="2329" w:hangingChars="728"/>
        <w:rPr>
          <w:rFonts w:hint="eastAsia" w:ascii="宋体" w:hAnsi="宋体"/>
          <w:sz w:val="32"/>
        </w:rPr>
      </w:pPr>
    </w:p>
    <w:p>
      <w:pPr>
        <w:spacing w:line="560" w:lineRule="exact"/>
        <w:ind w:left="418" w:leftChars="199"/>
        <w:rPr>
          <w:rFonts w:hint="default" w:ascii="宋体" w:hAnsi="宋体" w:eastAsia="宋体"/>
          <w:sz w:val="32"/>
          <w:lang w:val="en-US" w:eastAsia="zh-CN"/>
        </w:rPr>
      </w:pPr>
      <w:r>
        <w:rPr>
          <w:rFonts w:hint="eastAsia" w:ascii="宋体" w:hAnsi="宋体"/>
          <w:b/>
          <w:bCs/>
          <w:sz w:val="32"/>
        </w:rPr>
        <w:t>注册房地产估价师</w:t>
      </w:r>
      <w:r>
        <w:rPr>
          <w:rFonts w:hint="eastAsia" w:ascii="宋体" w:hAnsi="宋体"/>
          <w:sz w:val="32"/>
        </w:rPr>
        <w:t>：</w:t>
      </w:r>
      <w:r>
        <w:rPr>
          <w:rFonts w:hint="eastAsia" w:ascii="宋体" w:hAnsi="宋体"/>
          <w:sz w:val="32"/>
          <w:lang w:eastAsia="zh-CN"/>
        </w:rPr>
        <w:t>张振琴</w:t>
      </w:r>
      <w:r>
        <w:rPr>
          <w:rFonts w:hint="eastAsia" w:ascii="宋体" w:hAnsi="宋体"/>
          <w:sz w:val="32"/>
        </w:rPr>
        <w:t xml:space="preserve">   注册号：</w:t>
      </w:r>
      <w:r>
        <w:rPr>
          <w:rFonts w:hint="eastAsia" w:ascii="宋体" w:hAnsi="宋体"/>
          <w:sz w:val="32"/>
          <w:lang w:eastAsia="zh-CN"/>
        </w:rPr>
        <w:t>6420</w:t>
      </w:r>
      <w:r>
        <w:rPr>
          <w:rFonts w:hint="eastAsia" w:ascii="宋体" w:hAnsi="宋体"/>
          <w:sz w:val="32"/>
          <w:lang w:val="en-US" w:eastAsia="zh-CN"/>
        </w:rPr>
        <w:t>0</w:t>
      </w:r>
      <w:r>
        <w:rPr>
          <w:rFonts w:hint="eastAsia" w:ascii="宋体" w:hAnsi="宋体"/>
          <w:sz w:val="32"/>
          <w:lang w:eastAsia="zh-CN"/>
        </w:rPr>
        <w:t>000</w:t>
      </w:r>
      <w:r>
        <w:rPr>
          <w:rFonts w:hint="eastAsia" w:ascii="宋体" w:hAnsi="宋体"/>
          <w:sz w:val="32"/>
          <w:lang w:val="en-US" w:eastAsia="zh-CN"/>
        </w:rPr>
        <w:t>12</w:t>
      </w:r>
    </w:p>
    <w:p>
      <w:pPr>
        <w:spacing w:line="560" w:lineRule="exact"/>
        <w:ind w:left="2684" w:leftChars="1278" w:firstLine="640" w:firstLineChars="200"/>
        <w:rPr>
          <w:rFonts w:hint="eastAsia" w:ascii="宋体" w:hAnsi="宋体" w:eastAsia="宋体"/>
          <w:sz w:val="32"/>
          <w:lang w:eastAsia="zh-CN"/>
        </w:rPr>
      </w:pPr>
      <w:r>
        <w:rPr>
          <w:rFonts w:hint="eastAsia" w:ascii="宋体" w:hAnsi="宋体"/>
          <w:sz w:val="32"/>
          <w:lang w:eastAsia="zh-CN"/>
        </w:rPr>
        <w:t>吕永春</w:t>
      </w:r>
      <w:r>
        <w:rPr>
          <w:rFonts w:hint="eastAsia" w:ascii="宋体" w:hAnsi="宋体"/>
          <w:sz w:val="32"/>
        </w:rPr>
        <w:t xml:space="preserve">   注册号：</w:t>
      </w:r>
      <w:r>
        <w:rPr>
          <w:rFonts w:hint="eastAsia" w:ascii="宋体" w:hAnsi="宋体"/>
          <w:sz w:val="32"/>
          <w:lang w:eastAsia="zh-CN"/>
        </w:rPr>
        <w:t>6420200009</w:t>
      </w:r>
    </w:p>
    <w:p>
      <w:pPr>
        <w:spacing w:line="560" w:lineRule="exact"/>
        <w:ind w:left="2698" w:leftChars="171" w:hanging="2339" w:hangingChars="728"/>
        <w:rPr>
          <w:rFonts w:hint="eastAsia" w:ascii="宋体" w:hAnsi="宋体"/>
          <w:b/>
          <w:bCs/>
          <w:sz w:val="32"/>
        </w:rPr>
      </w:pPr>
    </w:p>
    <w:p>
      <w:pPr>
        <w:spacing w:line="560" w:lineRule="exact"/>
        <w:ind w:left="2698" w:leftChars="171" w:hanging="2339" w:hangingChars="728"/>
        <w:rPr>
          <w:rFonts w:hint="eastAsia" w:ascii="宋体" w:hAnsi="宋体"/>
          <w:sz w:val="32"/>
        </w:rPr>
      </w:pPr>
      <w:r>
        <w:rPr>
          <w:rFonts w:hint="eastAsia" w:ascii="宋体" w:hAnsi="宋体"/>
          <w:b/>
          <w:bCs/>
          <w:sz w:val="32"/>
        </w:rPr>
        <w:t>报告出具日期：</w:t>
      </w:r>
      <w:r>
        <w:rPr>
          <w:rFonts w:hint="eastAsia" w:ascii="宋体" w:hAnsi="宋体"/>
          <w:sz w:val="32"/>
        </w:rPr>
        <w:t>二〇二一年</w:t>
      </w:r>
      <w:r>
        <w:rPr>
          <w:rFonts w:hint="eastAsia" w:ascii="宋体" w:hAnsi="宋体"/>
          <w:sz w:val="32"/>
          <w:lang w:eastAsia="zh-CN"/>
        </w:rPr>
        <w:t>七</w:t>
      </w:r>
      <w:r>
        <w:rPr>
          <w:rFonts w:hint="eastAsia" w:ascii="宋体" w:hAnsi="宋体"/>
          <w:sz w:val="32"/>
        </w:rPr>
        <w:t>月</w:t>
      </w:r>
      <w:r>
        <w:rPr>
          <w:rFonts w:hint="eastAsia" w:ascii="宋体" w:hAnsi="宋体"/>
          <w:sz w:val="32"/>
          <w:lang w:eastAsia="zh-CN"/>
        </w:rPr>
        <w:t>二十八</w:t>
      </w:r>
      <w:r>
        <w:rPr>
          <w:rFonts w:hint="eastAsia" w:ascii="宋体" w:hAnsi="宋体"/>
          <w:sz w:val="32"/>
        </w:rPr>
        <w:t>日</w:t>
      </w:r>
    </w:p>
    <w:p>
      <w:pPr>
        <w:spacing w:line="560" w:lineRule="exact"/>
        <w:ind w:left="2698" w:leftChars="171" w:hanging="2339" w:hangingChars="728"/>
        <w:rPr>
          <w:rFonts w:hint="eastAsia" w:ascii="宋体" w:hAnsi="宋体"/>
          <w:b/>
          <w:bCs/>
          <w:sz w:val="32"/>
        </w:rPr>
      </w:pPr>
    </w:p>
    <w:p>
      <w:pPr>
        <w:spacing w:line="560" w:lineRule="exact"/>
        <w:ind w:left="2698" w:leftChars="171" w:hanging="2339" w:hangingChars="728"/>
        <w:rPr>
          <w:rFonts w:hint="eastAsia" w:ascii="宋体" w:hAnsi="宋体"/>
          <w:sz w:val="32"/>
        </w:rPr>
      </w:pPr>
      <w:r>
        <w:rPr>
          <w:rFonts w:hint="eastAsia" w:ascii="宋体" w:hAnsi="宋体"/>
          <w:b/>
          <w:bCs/>
          <w:sz w:val="32"/>
        </w:rPr>
        <w:t>估价报告编号：</w:t>
      </w:r>
      <w:r>
        <w:rPr>
          <w:rFonts w:hint="eastAsia" w:ascii="宋体" w:hAnsi="宋体"/>
          <w:sz w:val="32"/>
          <w:lang w:eastAsia="zh-CN"/>
        </w:rPr>
        <w:t>宁</w:t>
      </w:r>
      <w:r>
        <w:rPr>
          <w:rFonts w:hint="eastAsia" w:ascii="宋体" w:hAnsi="宋体"/>
          <w:sz w:val="32"/>
        </w:rPr>
        <w:t>正房估（涉案）【2021】字第0</w:t>
      </w:r>
      <w:r>
        <w:rPr>
          <w:rFonts w:hint="eastAsia" w:ascii="宋体" w:hAnsi="宋体"/>
          <w:sz w:val="32"/>
          <w:lang w:val="en-US" w:eastAsia="zh-CN"/>
        </w:rPr>
        <w:t>52</w:t>
      </w:r>
      <w:r>
        <w:rPr>
          <w:rFonts w:hint="eastAsia" w:ascii="宋体" w:hAnsi="宋体"/>
          <w:sz w:val="32"/>
        </w:rPr>
        <w:t>号</w:t>
      </w:r>
    </w:p>
    <w:p>
      <w:pPr>
        <w:spacing w:line="560" w:lineRule="exact"/>
        <w:jc w:val="center"/>
        <w:rPr>
          <w:rFonts w:hint="eastAsia" w:ascii="宋体" w:hAnsi="宋体"/>
          <w:b/>
          <w:bCs/>
          <w:sz w:val="44"/>
        </w:rPr>
      </w:pPr>
    </w:p>
    <w:p>
      <w:pPr>
        <w:spacing w:line="500" w:lineRule="exact"/>
        <w:ind w:firstLine="848" w:firstLineChars="192"/>
        <w:jc w:val="center"/>
        <w:rPr>
          <w:rFonts w:hint="eastAsia" w:ascii="宋体" w:hAnsi="宋体"/>
          <w:b/>
          <w:bCs/>
          <w:sz w:val="44"/>
        </w:rPr>
      </w:pPr>
    </w:p>
    <w:p>
      <w:pPr>
        <w:spacing w:line="500" w:lineRule="exact"/>
        <w:ind w:firstLine="848" w:firstLineChars="192"/>
        <w:jc w:val="center"/>
        <w:rPr>
          <w:rFonts w:hint="eastAsia" w:ascii="宋体" w:hAnsi="宋体"/>
          <w:b/>
          <w:bCs/>
          <w:sz w:val="44"/>
        </w:rPr>
      </w:pPr>
    </w:p>
    <w:p>
      <w:pPr>
        <w:spacing w:line="500" w:lineRule="exact"/>
        <w:ind w:firstLine="848" w:firstLineChars="192"/>
        <w:jc w:val="center"/>
        <w:rPr>
          <w:rFonts w:hint="eastAsia" w:ascii="宋体" w:hAnsi="宋体"/>
          <w:b/>
          <w:bCs/>
          <w:sz w:val="44"/>
        </w:rPr>
      </w:pPr>
    </w:p>
    <w:p>
      <w:pPr>
        <w:spacing w:line="500" w:lineRule="exact"/>
        <w:ind w:firstLine="848" w:firstLineChars="192"/>
        <w:jc w:val="center"/>
        <w:rPr>
          <w:rFonts w:hint="eastAsia" w:ascii="宋体" w:hAnsi="宋体"/>
          <w:b/>
          <w:bCs/>
          <w:sz w:val="44"/>
        </w:rPr>
      </w:pPr>
    </w:p>
    <w:p>
      <w:pPr>
        <w:spacing w:line="500" w:lineRule="exact"/>
        <w:ind w:firstLine="848" w:firstLineChars="192"/>
        <w:jc w:val="center"/>
        <w:rPr>
          <w:rFonts w:hint="eastAsia" w:ascii="宋体" w:hAnsi="宋体"/>
          <w:b/>
          <w:bCs/>
          <w:sz w:val="44"/>
        </w:rPr>
      </w:pPr>
    </w:p>
    <w:p>
      <w:pPr>
        <w:spacing w:line="500" w:lineRule="exact"/>
        <w:ind w:firstLine="848" w:firstLineChars="192"/>
        <w:jc w:val="center"/>
        <w:rPr>
          <w:rFonts w:hint="eastAsia" w:ascii="宋体" w:hAnsi="宋体"/>
          <w:b/>
          <w:bCs/>
          <w:sz w:val="44"/>
        </w:rPr>
      </w:pPr>
    </w:p>
    <w:p>
      <w:pPr>
        <w:spacing w:line="500" w:lineRule="exact"/>
        <w:ind w:firstLine="848" w:firstLineChars="192"/>
        <w:jc w:val="center"/>
        <w:rPr>
          <w:rFonts w:hint="eastAsia" w:ascii="宋体" w:hAnsi="宋体"/>
          <w:b/>
          <w:bCs/>
          <w:sz w:val="44"/>
        </w:rPr>
      </w:pPr>
    </w:p>
    <w:p>
      <w:pPr>
        <w:spacing w:line="420" w:lineRule="exact"/>
        <w:ind w:firstLine="848" w:firstLineChars="192"/>
        <w:jc w:val="center"/>
        <w:rPr>
          <w:rFonts w:hint="eastAsia" w:ascii="宋体" w:hAnsi="宋体"/>
          <w:b/>
          <w:bCs/>
          <w:sz w:val="44"/>
        </w:rPr>
      </w:pPr>
    </w:p>
    <w:p>
      <w:pPr>
        <w:spacing w:line="440" w:lineRule="exact"/>
        <w:ind w:firstLine="848" w:firstLineChars="192"/>
        <w:jc w:val="center"/>
        <w:rPr>
          <w:rFonts w:hint="eastAsia" w:ascii="宋体" w:hAnsi="宋体"/>
          <w:b/>
          <w:bCs/>
          <w:sz w:val="44"/>
        </w:rPr>
      </w:pPr>
      <w:r>
        <w:rPr>
          <w:rFonts w:hint="eastAsia" w:ascii="宋体" w:hAnsi="宋体"/>
          <w:b/>
          <w:bCs/>
          <w:sz w:val="44"/>
        </w:rPr>
        <w:t>致 估 价 委 托 人 函</w:t>
      </w:r>
    </w:p>
    <w:p>
      <w:pPr>
        <w:spacing w:line="420" w:lineRule="exact"/>
        <w:rPr>
          <w:rFonts w:hint="eastAsia" w:ascii="宋体" w:hAnsi="宋体"/>
          <w:b/>
          <w:bCs/>
          <w:sz w:val="28"/>
        </w:rPr>
      </w:pPr>
      <w:r>
        <w:rPr>
          <w:rFonts w:hint="eastAsia" w:ascii="宋体" w:hAnsi="宋体"/>
          <w:b/>
          <w:bCs/>
          <w:sz w:val="28"/>
          <w:lang w:eastAsia="zh-CN"/>
        </w:rPr>
        <w:t>平罗县人民法院</w:t>
      </w:r>
      <w:r>
        <w:rPr>
          <w:rFonts w:hint="eastAsia" w:ascii="宋体" w:hAnsi="宋体"/>
          <w:b/>
          <w:bCs/>
          <w:sz w:val="28"/>
        </w:rPr>
        <w:t>：</w:t>
      </w:r>
    </w:p>
    <w:p>
      <w:pPr>
        <w:spacing w:line="480" w:lineRule="exact"/>
        <w:ind w:firstLine="537" w:firstLineChars="192"/>
        <w:rPr>
          <w:rFonts w:hint="eastAsia" w:ascii="宋体" w:hAnsi="宋体"/>
          <w:sz w:val="28"/>
        </w:rPr>
      </w:pPr>
      <w:r>
        <w:rPr>
          <w:rFonts w:hint="eastAsia" w:ascii="宋体" w:hAnsi="宋体"/>
          <w:sz w:val="28"/>
        </w:rPr>
        <w:t>受贵法院的委托，我公司对属</w:t>
      </w:r>
      <w:r>
        <w:rPr>
          <w:rFonts w:hint="eastAsia" w:ascii="宋体" w:hAnsi="宋体"/>
          <w:sz w:val="28"/>
          <w:lang w:eastAsia="zh-CN"/>
        </w:rPr>
        <w:t>马占东、王晶共同共有</w:t>
      </w:r>
      <w:r>
        <w:rPr>
          <w:rFonts w:hint="eastAsia" w:ascii="宋体" w:hAnsi="宋体"/>
          <w:sz w:val="28"/>
        </w:rPr>
        <w:t>的位于</w:t>
      </w:r>
      <w:r>
        <w:rPr>
          <w:rFonts w:hint="eastAsia" w:ascii="宋体" w:hAnsi="宋体"/>
          <w:sz w:val="28"/>
          <w:lang w:eastAsia="zh-CN"/>
        </w:rPr>
        <w:t>平罗县建设路北侧银北丽景13幢1单元401号(住宅）</w:t>
      </w:r>
      <w:r>
        <w:rPr>
          <w:rFonts w:hint="eastAsia" w:ascii="宋体" w:hAnsi="宋体"/>
          <w:sz w:val="28"/>
        </w:rPr>
        <w:t>，建筑面积为</w:t>
      </w:r>
      <w:r>
        <w:rPr>
          <w:rFonts w:hint="eastAsia" w:ascii="宋体" w:hAnsi="宋体"/>
          <w:sz w:val="28"/>
          <w:lang w:eastAsia="zh-CN"/>
        </w:rPr>
        <w:t>121.12</w:t>
      </w:r>
      <w:r>
        <w:rPr>
          <w:rFonts w:hint="eastAsia" w:ascii="宋体" w:hAnsi="宋体"/>
          <w:sz w:val="28"/>
        </w:rPr>
        <w:t>㎡的</w:t>
      </w:r>
      <w:r>
        <w:rPr>
          <w:rFonts w:hint="eastAsia" w:ascii="宋体" w:hAnsi="宋体"/>
          <w:sz w:val="28"/>
          <w:lang w:eastAsia="zh-CN"/>
        </w:rPr>
        <w:t>住宅</w:t>
      </w:r>
      <w:r>
        <w:rPr>
          <w:rFonts w:hint="eastAsia" w:ascii="宋体" w:hAnsi="宋体"/>
          <w:sz w:val="28"/>
        </w:rPr>
        <w:t>房地产市场价值进行评估。</w:t>
      </w:r>
    </w:p>
    <w:p>
      <w:pPr>
        <w:spacing w:line="480" w:lineRule="exact"/>
        <w:ind w:right="-73" w:rightChars="-35" w:firstLine="522" w:firstLineChars="200"/>
        <w:rPr>
          <w:rFonts w:hint="eastAsia" w:ascii="宋体" w:hAnsi="宋体"/>
          <w:color w:val="000000"/>
          <w:sz w:val="28"/>
          <w:szCs w:val="28"/>
        </w:rPr>
      </w:pPr>
      <w:r>
        <w:rPr>
          <w:rFonts w:hint="eastAsia" w:ascii="宋体" w:hAnsi="宋体"/>
          <w:b/>
          <w:color w:val="000000"/>
          <w:spacing w:val="-10"/>
          <w:sz w:val="28"/>
          <w:szCs w:val="28"/>
        </w:rPr>
        <w:t>估价对象：</w:t>
      </w:r>
      <w:r>
        <w:rPr>
          <w:rFonts w:hint="eastAsia" w:ascii="宋体" w:hAnsi="宋体"/>
          <w:color w:val="000000"/>
          <w:spacing w:val="-10"/>
          <w:sz w:val="28"/>
          <w:szCs w:val="28"/>
        </w:rPr>
        <w:t>估价对象为位于</w:t>
      </w:r>
      <w:r>
        <w:rPr>
          <w:rFonts w:hint="eastAsia" w:ascii="宋体" w:hAnsi="宋体"/>
          <w:sz w:val="28"/>
          <w:lang w:eastAsia="zh-CN"/>
        </w:rPr>
        <w:t>平罗县建设路北侧银北丽景13幢1单元401号(住宅）</w:t>
      </w:r>
      <w:r>
        <w:rPr>
          <w:rFonts w:hint="eastAsia" w:ascii="宋体" w:hAnsi="宋体"/>
          <w:sz w:val="28"/>
        </w:rPr>
        <w:t>，总建筑面积为</w:t>
      </w:r>
      <w:r>
        <w:rPr>
          <w:rFonts w:hint="eastAsia" w:ascii="宋体" w:hAnsi="宋体"/>
          <w:sz w:val="28"/>
          <w:lang w:eastAsia="zh-CN"/>
        </w:rPr>
        <w:t>121.12</w:t>
      </w:r>
      <w:r>
        <w:rPr>
          <w:rFonts w:hint="eastAsia" w:ascii="宋体" w:hAnsi="宋体"/>
          <w:sz w:val="28"/>
        </w:rPr>
        <w:t>㎡，</w:t>
      </w:r>
      <w:r>
        <w:rPr>
          <w:rFonts w:hint="eastAsia" w:ascii="宋体" w:hAnsi="宋体"/>
          <w:color w:val="FF0000"/>
          <w:sz w:val="28"/>
        </w:rPr>
        <w:t>总层数</w:t>
      </w:r>
      <w:r>
        <w:rPr>
          <w:rFonts w:hint="eastAsia" w:ascii="宋体" w:hAnsi="宋体"/>
          <w:color w:val="FF0000"/>
          <w:sz w:val="28"/>
          <w:lang w:val="en-US" w:eastAsia="zh-CN"/>
        </w:rPr>
        <w:t>6</w:t>
      </w:r>
      <w:r>
        <w:rPr>
          <w:rFonts w:hint="eastAsia" w:ascii="宋体" w:hAnsi="宋体"/>
          <w:color w:val="FF0000"/>
          <w:sz w:val="28"/>
        </w:rPr>
        <w:t>层，实际所在层为</w:t>
      </w:r>
      <w:r>
        <w:rPr>
          <w:rFonts w:hint="eastAsia" w:ascii="宋体" w:hAnsi="宋体"/>
          <w:color w:val="FF0000"/>
          <w:sz w:val="28"/>
          <w:lang w:val="en-US" w:eastAsia="zh-CN"/>
        </w:rPr>
        <w:t>4</w:t>
      </w:r>
      <w:r>
        <w:rPr>
          <w:rFonts w:hint="eastAsia" w:ascii="宋体" w:hAnsi="宋体"/>
          <w:color w:val="FF0000"/>
          <w:sz w:val="28"/>
        </w:rPr>
        <w:t>层</w:t>
      </w:r>
      <w:r>
        <w:rPr>
          <w:rFonts w:hint="eastAsia" w:ascii="宋体" w:hAnsi="宋体"/>
          <w:sz w:val="28"/>
        </w:rPr>
        <w:t>，</w:t>
      </w:r>
      <w:r>
        <w:rPr>
          <w:rFonts w:hint="eastAsia" w:ascii="宋体" w:hAnsi="宋体"/>
          <w:color w:val="000000"/>
          <w:sz w:val="28"/>
          <w:szCs w:val="28"/>
        </w:rPr>
        <w:t>用途为</w:t>
      </w:r>
      <w:r>
        <w:rPr>
          <w:rFonts w:hint="eastAsia" w:ascii="宋体" w:hAnsi="宋体"/>
          <w:color w:val="000000"/>
          <w:sz w:val="28"/>
          <w:szCs w:val="28"/>
          <w:lang w:eastAsia="zh-CN"/>
        </w:rPr>
        <w:t>住宅</w:t>
      </w:r>
      <w:r>
        <w:rPr>
          <w:rFonts w:hint="eastAsia" w:ascii="宋体" w:hAnsi="宋体"/>
          <w:color w:val="000000"/>
          <w:sz w:val="28"/>
          <w:szCs w:val="28"/>
        </w:rPr>
        <w:t>，包括</w:t>
      </w:r>
      <w:r>
        <w:rPr>
          <w:rFonts w:hint="eastAsia" w:ascii="宋体" w:hAnsi="宋体"/>
          <w:color w:val="FF0000"/>
          <w:sz w:val="28"/>
          <w:szCs w:val="28"/>
        </w:rPr>
        <w:t>建筑物所分摊的国有建设用地使用权及室内装饰装修</w:t>
      </w:r>
      <w:r>
        <w:rPr>
          <w:rFonts w:hint="eastAsia" w:ascii="宋体" w:hAnsi="宋体"/>
          <w:color w:val="000000"/>
          <w:sz w:val="28"/>
          <w:szCs w:val="28"/>
        </w:rPr>
        <w:t>。</w:t>
      </w:r>
    </w:p>
    <w:p>
      <w:pPr>
        <w:spacing w:line="480" w:lineRule="exact"/>
        <w:ind w:firstLine="540" w:firstLineChars="192"/>
        <w:rPr>
          <w:rFonts w:hint="eastAsia" w:ascii="宋体" w:hAnsi="宋体"/>
          <w:sz w:val="28"/>
        </w:rPr>
      </w:pPr>
      <w:r>
        <w:rPr>
          <w:rFonts w:hint="eastAsia" w:ascii="宋体" w:hAnsi="宋体"/>
          <w:b/>
          <w:sz w:val="28"/>
        </w:rPr>
        <w:t>估价目的：</w:t>
      </w:r>
      <w:r>
        <w:rPr>
          <w:rFonts w:hint="eastAsia" w:ascii="宋体" w:hAnsi="宋体"/>
          <w:sz w:val="28"/>
        </w:rPr>
        <w:t>为人民法院确定财产处置参考价提供参考依据。</w:t>
      </w:r>
    </w:p>
    <w:p>
      <w:pPr>
        <w:spacing w:line="480" w:lineRule="exact"/>
        <w:ind w:firstLine="540" w:firstLineChars="192"/>
        <w:rPr>
          <w:rFonts w:hint="eastAsia" w:ascii="宋体" w:hAnsi="宋体"/>
          <w:sz w:val="28"/>
        </w:rPr>
      </w:pPr>
      <w:r>
        <w:rPr>
          <w:rFonts w:hint="eastAsia" w:ascii="宋体" w:hAnsi="宋体"/>
          <w:b/>
          <w:sz w:val="28"/>
        </w:rPr>
        <w:t>价值时点：</w:t>
      </w:r>
      <w:r>
        <w:rPr>
          <w:rFonts w:hint="eastAsia" w:ascii="宋体" w:hAnsi="宋体"/>
          <w:color w:val="000000"/>
          <w:spacing w:val="6"/>
          <w:sz w:val="28"/>
          <w:szCs w:val="28"/>
        </w:rPr>
        <w:t>根据估价人员实地查勘时间，确定价值时点为</w:t>
      </w:r>
      <w:r>
        <w:rPr>
          <w:rFonts w:hint="eastAsia" w:ascii="宋体" w:hAnsi="宋体"/>
          <w:sz w:val="28"/>
          <w:lang w:eastAsia="zh-CN"/>
        </w:rPr>
        <w:t>2021年7月16日</w:t>
      </w:r>
      <w:r>
        <w:rPr>
          <w:rFonts w:hint="eastAsia" w:ascii="宋体" w:hAnsi="宋体"/>
          <w:sz w:val="28"/>
        </w:rPr>
        <w:t>。</w:t>
      </w:r>
    </w:p>
    <w:p>
      <w:pPr>
        <w:spacing w:line="480" w:lineRule="exact"/>
        <w:ind w:firstLine="540" w:firstLineChars="192"/>
        <w:rPr>
          <w:rFonts w:hint="eastAsia" w:ascii="宋体" w:hAnsi="宋体"/>
          <w:sz w:val="28"/>
        </w:rPr>
      </w:pPr>
      <w:r>
        <w:rPr>
          <w:rFonts w:hint="eastAsia" w:ascii="宋体" w:hAnsi="宋体"/>
          <w:b/>
          <w:sz w:val="28"/>
        </w:rPr>
        <w:t>价值类型：</w:t>
      </w:r>
      <w:r>
        <w:rPr>
          <w:rFonts w:hint="eastAsia" w:ascii="宋体" w:hAnsi="宋体"/>
          <w:sz w:val="28"/>
        </w:rPr>
        <w:t>市场价值</w:t>
      </w:r>
    </w:p>
    <w:p>
      <w:pPr>
        <w:spacing w:line="480" w:lineRule="exact"/>
        <w:ind w:firstLine="562" w:firstLineChars="200"/>
        <w:rPr>
          <w:rFonts w:hint="eastAsia" w:ascii="宋体" w:hAnsi="宋体"/>
          <w:b/>
          <w:bCs/>
          <w:sz w:val="28"/>
          <w:szCs w:val="28"/>
        </w:rPr>
      </w:pPr>
      <w:r>
        <w:rPr>
          <w:rFonts w:hint="eastAsia" w:ascii="宋体" w:hAnsi="宋体"/>
          <w:b/>
          <w:sz w:val="28"/>
        </w:rPr>
        <w:t>估价结果：</w:t>
      </w:r>
      <w:r>
        <w:rPr>
          <w:rFonts w:hint="eastAsia" w:ascii="宋体" w:hAnsi="宋体"/>
          <w:sz w:val="28"/>
          <w:szCs w:val="28"/>
        </w:rPr>
        <w:t>估价人员根据估价目的，依据《中华人民共和国城市房地产管理法》、国家标准《房地产估价规范》、</w:t>
      </w:r>
      <w:r>
        <w:rPr>
          <w:rFonts w:hint="eastAsia" w:ascii="宋体" w:hAnsi="宋体"/>
          <w:color w:val="FF0000"/>
          <w:sz w:val="28"/>
          <w:szCs w:val="28"/>
        </w:rPr>
        <w:t>《房地产估价基本术语标准》</w:t>
      </w:r>
      <w:r>
        <w:rPr>
          <w:rFonts w:hint="eastAsia" w:ascii="宋体" w:hAnsi="宋体"/>
          <w:sz w:val="28"/>
          <w:szCs w:val="28"/>
        </w:rPr>
        <w:t>等法律、法规和技术标准，本着独立、客观、公正的估价原则，按照估价工作程序，采用科学合理的估价方法，结合估价人员的估价经验及估价委托人提供的相关资料，经过实地查勘和市场调查，选用</w:t>
      </w:r>
      <w:r>
        <w:rPr>
          <w:rFonts w:hint="eastAsia" w:ascii="宋体" w:hAnsi="宋体"/>
          <w:color w:val="FF0000"/>
          <w:sz w:val="28"/>
          <w:szCs w:val="28"/>
        </w:rPr>
        <w:t>比较法和收益法</w:t>
      </w:r>
      <w:r>
        <w:rPr>
          <w:rFonts w:hint="eastAsia" w:ascii="宋体" w:hAnsi="宋体"/>
          <w:sz w:val="28"/>
          <w:szCs w:val="28"/>
        </w:rPr>
        <w:t>进行了分析、测算和判断，确定</w:t>
      </w:r>
      <w:r>
        <w:rPr>
          <w:rFonts w:hint="eastAsia" w:ascii="宋体" w:hAnsi="宋体"/>
          <w:sz w:val="28"/>
        </w:rPr>
        <w:t>，确定估价对象房地产在满足全部假设和限制条件下，于价值时点</w:t>
      </w:r>
      <w:r>
        <w:rPr>
          <w:rFonts w:hint="eastAsia" w:ascii="宋体" w:hAnsi="宋体"/>
          <w:sz w:val="28"/>
          <w:lang w:eastAsia="zh-CN"/>
        </w:rPr>
        <w:t>2021年7月16日</w:t>
      </w:r>
      <w:r>
        <w:rPr>
          <w:rFonts w:hint="eastAsia" w:ascii="宋体" w:hAnsi="宋体"/>
          <w:sz w:val="28"/>
        </w:rPr>
        <w:t>的</w:t>
      </w:r>
      <w:r>
        <w:rPr>
          <w:rFonts w:hint="eastAsia" w:ascii="宋体" w:hAnsi="宋体"/>
          <w:b/>
          <w:color w:val="0000FF"/>
          <w:sz w:val="28"/>
        </w:rPr>
        <w:t>市场价值</w:t>
      </w:r>
      <w:r>
        <w:rPr>
          <w:rFonts w:hint="eastAsia" w:ascii="宋体" w:hAnsi="宋体"/>
          <w:b/>
          <w:sz w:val="28"/>
          <w:szCs w:val="28"/>
        </w:rPr>
        <w:t>为人民币</w:t>
      </w:r>
      <w:r>
        <w:rPr>
          <w:rFonts w:hint="eastAsia" w:ascii="宋体" w:hAnsi="宋体"/>
          <w:b/>
          <w:snapToGrid w:val="0"/>
          <w:kern w:val="0"/>
          <w:sz w:val="28"/>
          <w:szCs w:val="28"/>
          <w:lang w:eastAsia="zh-CN"/>
        </w:rPr>
        <w:t>364450</w:t>
      </w:r>
      <w:r>
        <w:rPr>
          <w:rFonts w:hint="eastAsia" w:ascii="宋体" w:hAnsi="宋体"/>
          <w:b/>
          <w:sz w:val="28"/>
          <w:szCs w:val="28"/>
        </w:rPr>
        <w:t>元，</w:t>
      </w:r>
      <w:r>
        <w:rPr>
          <w:rFonts w:hint="eastAsia" w:ascii="宋体" w:hAnsi="宋体"/>
          <w:b/>
          <w:sz w:val="28"/>
        </w:rPr>
        <w:t>大写金额（人民币）</w:t>
      </w:r>
      <w:r>
        <w:rPr>
          <w:rFonts w:hint="eastAsia" w:ascii="宋体" w:hAnsi="宋体"/>
          <w:b/>
          <w:sz w:val="28"/>
          <w:szCs w:val="28"/>
        </w:rPr>
        <w:t>：</w:t>
      </w:r>
      <w:r>
        <w:rPr>
          <w:rFonts w:ascii="宋体" w:hAnsi="宋体"/>
          <w:b/>
          <w:bCs/>
          <w:sz w:val="28"/>
          <w:szCs w:val="28"/>
        </w:rPr>
        <w:fldChar w:fldCharType="begin"/>
      </w:r>
      <w:r>
        <w:rPr>
          <w:rFonts w:ascii="宋体" w:hAnsi="宋体"/>
          <w:b/>
          <w:bCs/>
          <w:sz w:val="28"/>
          <w:szCs w:val="28"/>
        </w:rPr>
        <w:instrText xml:space="preserve"> </w:instrText>
      </w:r>
      <w:r>
        <w:rPr>
          <w:rFonts w:hint="eastAsia" w:ascii="宋体" w:hAnsi="宋体"/>
          <w:b/>
          <w:bCs/>
          <w:sz w:val="28"/>
          <w:szCs w:val="28"/>
        </w:rPr>
        <w:instrText xml:space="preserve">= 430480 \* CHINESENUM2</w:instrText>
      </w:r>
      <w:r>
        <w:rPr>
          <w:rFonts w:ascii="宋体" w:hAnsi="宋体"/>
          <w:b/>
          <w:bCs/>
          <w:sz w:val="28"/>
          <w:szCs w:val="28"/>
        </w:rPr>
        <w:instrText xml:space="preserve"> </w:instrText>
      </w:r>
      <w:r>
        <w:rPr>
          <w:rFonts w:ascii="宋体" w:hAnsi="宋体"/>
          <w:b/>
          <w:bCs/>
          <w:sz w:val="28"/>
          <w:szCs w:val="28"/>
        </w:rPr>
        <w:fldChar w:fldCharType="separate"/>
      </w:r>
      <w:r>
        <w:rPr>
          <w:rFonts w:hint="eastAsia" w:ascii="宋体" w:hAnsi="宋体"/>
          <w:b/>
          <w:bCs/>
          <w:sz w:val="28"/>
          <w:szCs w:val="28"/>
          <w:lang w:eastAsia="zh-CN"/>
        </w:rPr>
        <w:t>叁拾陆万肆仟肆佰伍拾</w:t>
      </w:r>
      <w:r>
        <w:rPr>
          <w:rFonts w:ascii="宋体" w:hAnsi="宋体"/>
          <w:b/>
          <w:bCs/>
          <w:sz w:val="28"/>
          <w:szCs w:val="28"/>
        </w:rPr>
        <w:fldChar w:fldCharType="end"/>
      </w:r>
      <w:r>
        <w:rPr>
          <w:rFonts w:hint="eastAsia" w:ascii="宋体" w:hAnsi="宋体"/>
          <w:b/>
          <w:bCs/>
          <w:sz w:val="28"/>
          <w:szCs w:val="28"/>
        </w:rPr>
        <w:t>元整，单价为</w:t>
      </w:r>
      <w:r>
        <w:rPr>
          <w:rFonts w:hint="eastAsia" w:ascii="宋体" w:hAnsi="宋体"/>
          <w:b/>
          <w:bCs/>
          <w:sz w:val="28"/>
          <w:szCs w:val="28"/>
          <w:lang w:eastAsia="zh-CN"/>
        </w:rPr>
        <w:t>3009</w:t>
      </w:r>
      <w:r>
        <w:rPr>
          <w:rFonts w:hint="eastAsia" w:ascii="宋体" w:hAnsi="宋体"/>
          <w:b/>
          <w:bCs/>
          <w:sz w:val="28"/>
          <w:szCs w:val="28"/>
        </w:rPr>
        <w:t>元/㎡。</w:t>
      </w:r>
    </w:p>
    <w:p>
      <w:pPr>
        <w:spacing w:line="440" w:lineRule="exact"/>
        <w:ind w:firstLine="2670" w:firstLineChars="950"/>
        <w:rPr>
          <w:rFonts w:hint="eastAsia" w:ascii="宋体" w:hAnsi="宋体"/>
          <w:b/>
          <w:bCs/>
          <w:sz w:val="28"/>
          <w:szCs w:val="28"/>
        </w:rPr>
      </w:pPr>
      <w:r>
        <w:rPr>
          <w:rFonts w:hint="eastAsia" w:ascii="宋体" w:hAnsi="宋体"/>
          <w:b/>
          <w:bCs/>
          <w:sz w:val="28"/>
          <w:szCs w:val="28"/>
        </w:rPr>
        <w:t>《估价对象市场价值明细表》</w:t>
      </w:r>
    </w:p>
    <w:tbl>
      <w:tblPr>
        <w:tblStyle w:val="9"/>
        <w:tblW w:w="10486" w:type="dxa"/>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1"/>
        <w:gridCol w:w="1185"/>
        <w:gridCol w:w="1772"/>
        <w:gridCol w:w="693"/>
        <w:gridCol w:w="850"/>
        <w:gridCol w:w="709"/>
        <w:gridCol w:w="716"/>
        <w:gridCol w:w="1095"/>
        <w:gridCol w:w="1065"/>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171" w:type="dxa"/>
            <w:noWrap w:val="0"/>
            <w:vAlign w:val="center"/>
          </w:tcPr>
          <w:p>
            <w:pPr>
              <w:spacing w:line="240" w:lineRule="exact"/>
              <w:jc w:val="center"/>
              <w:rPr>
                <w:rFonts w:hint="eastAsia" w:ascii="宋体" w:hAnsi="宋体"/>
                <w:b/>
                <w:sz w:val="24"/>
              </w:rPr>
            </w:pPr>
            <w:r>
              <w:rPr>
                <w:rFonts w:hint="eastAsia" w:ascii="宋体" w:hAnsi="宋体"/>
                <w:b/>
                <w:sz w:val="24"/>
              </w:rPr>
              <w:t>产权人</w:t>
            </w:r>
          </w:p>
        </w:tc>
        <w:tc>
          <w:tcPr>
            <w:tcW w:w="1185" w:type="dxa"/>
            <w:noWrap w:val="0"/>
            <w:vAlign w:val="center"/>
          </w:tcPr>
          <w:p>
            <w:pPr>
              <w:spacing w:line="240" w:lineRule="exact"/>
              <w:jc w:val="center"/>
              <w:rPr>
                <w:rFonts w:hint="eastAsia" w:ascii="宋体" w:hAnsi="宋体"/>
                <w:b/>
                <w:sz w:val="24"/>
              </w:rPr>
            </w:pPr>
            <w:r>
              <w:rPr>
                <w:rFonts w:hint="eastAsia" w:ascii="宋体" w:hAnsi="宋体"/>
                <w:b/>
                <w:sz w:val="24"/>
              </w:rPr>
              <w:t>产权证号</w:t>
            </w:r>
          </w:p>
        </w:tc>
        <w:tc>
          <w:tcPr>
            <w:tcW w:w="1772" w:type="dxa"/>
            <w:noWrap w:val="0"/>
            <w:vAlign w:val="center"/>
          </w:tcPr>
          <w:p>
            <w:pPr>
              <w:spacing w:line="240" w:lineRule="exact"/>
              <w:jc w:val="center"/>
              <w:rPr>
                <w:rFonts w:hint="eastAsia" w:ascii="宋体" w:hAnsi="宋体"/>
                <w:b/>
                <w:sz w:val="24"/>
              </w:rPr>
            </w:pPr>
            <w:r>
              <w:rPr>
                <w:rFonts w:hint="eastAsia" w:ascii="宋体" w:hAnsi="宋体"/>
                <w:b/>
                <w:sz w:val="24"/>
              </w:rPr>
              <w:t>房屋坐落</w:t>
            </w:r>
          </w:p>
        </w:tc>
        <w:tc>
          <w:tcPr>
            <w:tcW w:w="693" w:type="dxa"/>
            <w:noWrap w:val="0"/>
            <w:vAlign w:val="center"/>
          </w:tcPr>
          <w:p>
            <w:pPr>
              <w:spacing w:line="240" w:lineRule="exact"/>
              <w:jc w:val="center"/>
              <w:rPr>
                <w:rFonts w:hint="eastAsia" w:ascii="宋体" w:hAnsi="宋体"/>
                <w:b/>
                <w:sz w:val="24"/>
              </w:rPr>
            </w:pPr>
            <w:r>
              <w:rPr>
                <w:rFonts w:hint="eastAsia" w:ascii="宋体" w:hAnsi="宋体"/>
                <w:b/>
                <w:sz w:val="24"/>
              </w:rPr>
              <w:t>结构</w:t>
            </w:r>
          </w:p>
        </w:tc>
        <w:tc>
          <w:tcPr>
            <w:tcW w:w="850" w:type="dxa"/>
            <w:noWrap w:val="0"/>
            <w:vAlign w:val="center"/>
          </w:tcPr>
          <w:p>
            <w:pPr>
              <w:spacing w:line="240" w:lineRule="exact"/>
              <w:jc w:val="center"/>
              <w:rPr>
                <w:rFonts w:hint="eastAsia" w:ascii="宋体" w:hAnsi="宋体"/>
                <w:b/>
                <w:sz w:val="24"/>
              </w:rPr>
            </w:pPr>
            <w:r>
              <w:rPr>
                <w:rFonts w:hint="eastAsia" w:ascii="宋体" w:hAnsi="宋体"/>
                <w:b/>
                <w:sz w:val="24"/>
              </w:rPr>
              <w:t>总层数</w:t>
            </w:r>
          </w:p>
        </w:tc>
        <w:tc>
          <w:tcPr>
            <w:tcW w:w="709" w:type="dxa"/>
            <w:noWrap w:val="0"/>
            <w:vAlign w:val="center"/>
          </w:tcPr>
          <w:p>
            <w:pPr>
              <w:spacing w:line="240" w:lineRule="exact"/>
              <w:jc w:val="center"/>
              <w:rPr>
                <w:rFonts w:hint="eastAsia" w:ascii="宋体" w:hAnsi="宋体"/>
                <w:b/>
                <w:sz w:val="24"/>
              </w:rPr>
            </w:pPr>
            <w:r>
              <w:rPr>
                <w:rFonts w:hint="eastAsia" w:ascii="宋体" w:hAnsi="宋体"/>
                <w:b/>
                <w:sz w:val="24"/>
              </w:rPr>
              <w:t>所在层</w:t>
            </w:r>
          </w:p>
        </w:tc>
        <w:tc>
          <w:tcPr>
            <w:tcW w:w="716" w:type="dxa"/>
            <w:noWrap w:val="0"/>
            <w:vAlign w:val="center"/>
          </w:tcPr>
          <w:p>
            <w:pPr>
              <w:spacing w:line="240" w:lineRule="exact"/>
              <w:jc w:val="center"/>
              <w:rPr>
                <w:rFonts w:hint="eastAsia" w:ascii="宋体" w:hAnsi="宋体"/>
                <w:b/>
                <w:sz w:val="24"/>
              </w:rPr>
            </w:pPr>
            <w:r>
              <w:rPr>
                <w:rFonts w:hint="eastAsia" w:ascii="宋体" w:hAnsi="宋体"/>
                <w:b/>
                <w:sz w:val="24"/>
              </w:rPr>
              <w:t>建造年代</w:t>
            </w:r>
          </w:p>
        </w:tc>
        <w:tc>
          <w:tcPr>
            <w:tcW w:w="1095" w:type="dxa"/>
            <w:noWrap w:val="0"/>
            <w:vAlign w:val="center"/>
          </w:tcPr>
          <w:p>
            <w:pPr>
              <w:spacing w:line="240" w:lineRule="exact"/>
              <w:jc w:val="center"/>
              <w:rPr>
                <w:rFonts w:hint="eastAsia" w:ascii="宋体" w:hAnsi="宋体"/>
                <w:b/>
                <w:sz w:val="24"/>
              </w:rPr>
            </w:pPr>
            <w:r>
              <w:rPr>
                <w:rFonts w:hint="eastAsia" w:ascii="宋体" w:hAnsi="宋体"/>
                <w:b/>
                <w:sz w:val="24"/>
              </w:rPr>
              <w:t>面积</w:t>
            </w:r>
          </w:p>
          <w:p>
            <w:pPr>
              <w:spacing w:line="240" w:lineRule="exact"/>
              <w:jc w:val="center"/>
              <w:rPr>
                <w:rFonts w:hint="eastAsia" w:ascii="宋体" w:hAnsi="宋体"/>
                <w:b/>
                <w:sz w:val="24"/>
              </w:rPr>
            </w:pPr>
            <w:r>
              <w:rPr>
                <w:rFonts w:hint="eastAsia" w:ascii="宋体" w:hAnsi="宋体"/>
                <w:b/>
                <w:sz w:val="24"/>
              </w:rPr>
              <w:t>（㎡)</w:t>
            </w:r>
          </w:p>
        </w:tc>
        <w:tc>
          <w:tcPr>
            <w:tcW w:w="1065" w:type="dxa"/>
            <w:noWrap w:val="0"/>
            <w:vAlign w:val="center"/>
          </w:tcPr>
          <w:p>
            <w:pPr>
              <w:spacing w:line="240" w:lineRule="exact"/>
              <w:jc w:val="center"/>
              <w:rPr>
                <w:rFonts w:hint="eastAsia" w:ascii="宋体" w:hAnsi="宋体"/>
                <w:b/>
                <w:sz w:val="24"/>
              </w:rPr>
            </w:pPr>
            <w:r>
              <w:rPr>
                <w:rFonts w:hint="eastAsia" w:ascii="宋体" w:hAnsi="宋体"/>
                <w:b/>
                <w:sz w:val="24"/>
              </w:rPr>
              <w:t>单价</w:t>
            </w:r>
          </w:p>
          <w:p>
            <w:pPr>
              <w:spacing w:line="240" w:lineRule="exact"/>
              <w:jc w:val="center"/>
              <w:rPr>
                <w:rFonts w:hint="eastAsia" w:ascii="宋体" w:hAnsi="宋体"/>
                <w:b/>
                <w:sz w:val="24"/>
              </w:rPr>
            </w:pPr>
            <w:r>
              <w:rPr>
                <w:rFonts w:hint="eastAsia" w:ascii="宋体" w:hAnsi="宋体"/>
                <w:b/>
                <w:sz w:val="24"/>
              </w:rPr>
              <w:t>(元/㎡)</w:t>
            </w:r>
          </w:p>
        </w:tc>
        <w:tc>
          <w:tcPr>
            <w:tcW w:w="1230" w:type="dxa"/>
            <w:noWrap w:val="0"/>
            <w:vAlign w:val="center"/>
          </w:tcPr>
          <w:p>
            <w:pPr>
              <w:spacing w:line="240" w:lineRule="exact"/>
              <w:jc w:val="center"/>
              <w:rPr>
                <w:rFonts w:hint="eastAsia" w:ascii="宋体" w:hAnsi="宋体"/>
                <w:b/>
                <w:sz w:val="24"/>
              </w:rPr>
            </w:pPr>
            <w:r>
              <w:rPr>
                <w:rFonts w:hint="eastAsia" w:ascii="宋体" w:hAnsi="宋体"/>
                <w:b/>
                <w:sz w:val="24"/>
              </w:rPr>
              <w:t>市场价格</w:t>
            </w:r>
          </w:p>
          <w:p>
            <w:pPr>
              <w:spacing w:line="240" w:lineRule="exact"/>
              <w:jc w:val="center"/>
              <w:rPr>
                <w:rFonts w:hint="eastAsia" w:ascii="宋体" w:hAnsi="宋体"/>
                <w:b/>
                <w:sz w:val="24"/>
              </w:rPr>
            </w:pPr>
            <w:r>
              <w:rPr>
                <w:rFonts w:hint="eastAsia" w:ascii="宋体" w:hAnsi="宋体"/>
                <w:b/>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trPr>
        <w:tc>
          <w:tcPr>
            <w:tcW w:w="1171" w:type="dxa"/>
            <w:noWrap w:val="0"/>
            <w:vAlign w:val="center"/>
          </w:tcPr>
          <w:p>
            <w:pPr>
              <w:spacing w:line="240" w:lineRule="exact"/>
              <w:jc w:val="center"/>
              <w:rPr>
                <w:rFonts w:hint="eastAsia" w:ascii="宋体" w:hAnsi="宋体" w:eastAsia="宋体"/>
                <w:sz w:val="24"/>
                <w:lang w:eastAsia="zh-CN"/>
              </w:rPr>
            </w:pPr>
            <w:r>
              <w:rPr>
                <w:rFonts w:hint="eastAsia" w:ascii="宋体" w:hAnsi="宋体"/>
                <w:sz w:val="24"/>
                <w:lang w:eastAsia="zh-CN"/>
              </w:rPr>
              <w:t>马占东、王晶</w:t>
            </w:r>
          </w:p>
        </w:tc>
        <w:tc>
          <w:tcPr>
            <w:tcW w:w="1185" w:type="dxa"/>
            <w:noWrap w:val="0"/>
            <w:vAlign w:val="center"/>
          </w:tcPr>
          <w:p>
            <w:pPr>
              <w:spacing w:line="240" w:lineRule="exact"/>
              <w:jc w:val="center"/>
              <w:rPr>
                <w:rFonts w:hint="eastAsia" w:ascii="宋体" w:hAnsi="宋体" w:eastAsia="宋体"/>
                <w:sz w:val="24"/>
                <w:lang w:eastAsia="zh-CN"/>
              </w:rPr>
            </w:pPr>
            <w:r>
              <w:rPr>
                <w:rFonts w:hint="eastAsia" w:ascii="宋体" w:hAnsi="宋体"/>
                <w:sz w:val="24"/>
                <w:lang w:eastAsia="zh-CN"/>
              </w:rPr>
              <w:t>房权证平字第2011-35828号</w:t>
            </w:r>
          </w:p>
        </w:tc>
        <w:tc>
          <w:tcPr>
            <w:tcW w:w="1772" w:type="dxa"/>
            <w:noWrap w:val="0"/>
            <w:vAlign w:val="center"/>
          </w:tcPr>
          <w:p>
            <w:pPr>
              <w:spacing w:line="240" w:lineRule="exact"/>
              <w:jc w:val="center"/>
              <w:rPr>
                <w:rFonts w:hint="eastAsia" w:ascii="宋体" w:hAnsi="宋体" w:eastAsia="宋体"/>
                <w:sz w:val="24"/>
                <w:lang w:eastAsia="zh-CN"/>
              </w:rPr>
            </w:pPr>
            <w:r>
              <w:rPr>
                <w:rFonts w:hint="eastAsia" w:ascii="宋体" w:hAnsi="宋体"/>
                <w:sz w:val="24"/>
                <w:lang w:eastAsia="zh-CN"/>
              </w:rPr>
              <w:t>平罗县建设路北侧银北丽景13幢1单元401号</w:t>
            </w:r>
          </w:p>
        </w:tc>
        <w:tc>
          <w:tcPr>
            <w:tcW w:w="693" w:type="dxa"/>
            <w:noWrap w:val="0"/>
            <w:vAlign w:val="center"/>
          </w:tcPr>
          <w:p>
            <w:pPr>
              <w:spacing w:line="240" w:lineRule="exact"/>
              <w:jc w:val="center"/>
              <w:rPr>
                <w:rFonts w:hint="eastAsia" w:ascii="宋体" w:hAnsi="宋体" w:eastAsia="宋体"/>
                <w:sz w:val="24"/>
                <w:lang w:eastAsia="zh-CN"/>
              </w:rPr>
            </w:pPr>
            <w:r>
              <w:rPr>
                <w:rFonts w:hint="eastAsia" w:ascii="宋体" w:hAnsi="宋体"/>
                <w:sz w:val="24"/>
                <w:lang w:eastAsia="zh-CN"/>
              </w:rPr>
              <w:t>混合</w:t>
            </w:r>
          </w:p>
        </w:tc>
        <w:tc>
          <w:tcPr>
            <w:tcW w:w="850" w:type="dxa"/>
            <w:noWrap w:val="0"/>
            <w:vAlign w:val="center"/>
          </w:tcPr>
          <w:p>
            <w:pPr>
              <w:spacing w:line="240" w:lineRule="exact"/>
              <w:jc w:val="center"/>
              <w:rPr>
                <w:rFonts w:hint="eastAsia" w:ascii="宋体" w:hAnsi="宋体" w:eastAsia="宋体"/>
                <w:sz w:val="24"/>
                <w:lang w:eastAsia="zh-CN"/>
              </w:rPr>
            </w:pPr>
            <w:r>
              <w:rPr>
                <w:rFonts w:hint="eastAsia" w:ascii="宋体" w:hAnsi="宋体"/>
                <w:sz w:val="24"/>
                <w:lang w:val="en-US" w:eastAsia="zh-CN"/>
              </w:rPr>
              <w:t>6</w:t>
            </w:r>
          </w:p>
        </w:tc>
        <w:tc>
          <w:tcPr>
            <w:tcW w:w="709" w:type="dxa"/>
            <w:noWrap w:val="0"/>
            <w:vAlign w:val="center"/>
          </w:tcPr>
          <w:p>
            <w:pPr>
              <w:spacing w:line="240" w:lineRule="exact"/>
              <w:jc w:val="center"/>
              <w:rPr>
                <w:rFonts w:hint="eastAsia" w:ascii="宋体" w:hAnsi="宋体" w:eastAsia="宋体"/>
                <w:sz w:val="24"/>
                <w:lang w:eastAsia="zh-CN"/>
              </w:rPr>
            </w:pPr>
            <w:r>
              <w:rPr>
                <w:rFonts w:hint="eastAsia" w:ascii="宋体" w:hAnsi="宋体"/>
                <w:sz w:val="24"/>
                <w:lang w:val="en-US" w:eastAsia="zh-CN"/>
              </w:rPr>
              <w:t>4</w:t>
            </w:r>
          </w:p>
        </w:tc>
        <w:tc>
          <w:tcPr>
            <w:tcW w:w="716" w:type="dxa"/>
            <w:noWrap w:val="0"/>
            <w:vAlign w:val="center"/>
          </w:tcPr>
          <w:p>
            <w:pPr>
              <w:spacing w:line="240" w:lineRule="exact"/>
              <w:jc w:val="center"/>
              <w:rPr>
                <w:rFonts w:hint="eastAsia" w:ascii="宋体" w:hAnsi="宋体" w:eastAsia="宋体"/>
                <w:sz w:val="24"/>
                <w:lang w:eastAsia="zh-CN"/>
              </w:rPr>
            </w:pPr>
            <w:r>
              <w:rPr>
                <w:rFonts w:hint="eastAsia" w:ascii="宋体" w:hAnsi="宋体"/>
                <w:sz w:val="24"/>
              </w:rPr>
              <w:t>200</w:t>
            </w:r>
            <w:r>
              <w:rPr>
                <w:rFonts w:hint="eastAsia" w:ascii="宋体" w:hAnsi="宋体"/>
                <w:sz w:val="24"/>
                <w:lang w:val="en-US" w:eastAsia="zh-CN"/>
              </w:rPr>
              <w:t>9</w:t>
            </w:r>
          </w:p>
        </w:tc>
        <w:tc>
          <w:tcPr>
            <w:tcW w:w="1095" w:type="dxa"/>
            <w:noWrap w:val="0"/>
            <w:vAlign w:val="center"/>
          </w:tcPr>
          <w:p>
            <w:pPr>
              <w:widowControl/>
              <w:spacing w:line="240" w:lineRule="exact"/>
              <w:jc w:val="center"/>
              <w:rPr>
                <w:rFonts w:hint="eastAsia" w:ascii="宋体" w:hAnsi="宋体" w:eastAsia="宋体" w:cs="宋体"/>
                <w:color w:val="000000"/>
                <w:kern w:val="0"/>
                <w:sz w:val="24"/>
                <w:lang w:eastAsia="zh-CN"/>
              </w:rPr>
            </w:pPr>
            <w:r>
              <w:rPr>
                <w:rFonts w:hint="eastAsia" w:ascii="宋体" w:hAnsi="宋体" w:cs="宋体"/>
                <w:color w:val="000000"/>
                <w:kern w:val="0"/>
                <w:sz w:val="24"/>
                <w:lang w:eastAsia="zh-CN"/>
              </w:rPr>
              <w:t>121.12</w:t>
            </w:r>
          </w:p>
        </w:tc>
        <w:tc>
          <w:tcPr>
            <w:tcW w:w="1065" w:type="dxa"/>
            <w:noWrap w:val="0"/>
            <w:vAlign w:val="center"/>
          </w:tcPr>
          <w:p>
            <w:pPr>
              <w:spacing w:line="240" w:lineRule="exact"/>
              <w:jc w:val="center"/>
              <w:rPr>
                <w:rFonts w:hint="eastAsia" w:ascii="宋体" w:hAnsi="宋体" w:eastAsia="宋体"/>
                <w:sz w:val="24"/>
                <w:lang w:eastAsia="zh-CN"/>
              </w:rPr>
            </w:pPr>
            <w:r>
              <w:rPr>
                <w:rFonts w:hint="eastAsia" w:ascii="宋体" w:hAnsi="宋体"/>
                <w:sz w:val="24"/>
                <w:lang w:eastAsia="zh-CN"/>
              </w:rPr>
              <w:t>3009</w:t>
            </w:r>
          </w:p>
        </w:tc>
        <w:tc>
          <w:tcPr>
            <w:tcW w:w="1230" w:type="dxa"/>
            <w:noWrap w:val="0"/>
            <w:vAlign w:val="center"/>
          </w:tcPr>
          <w:p>
            <w:pPr>
              <w:spacing w:line="240" w:lineRule="exact"/>
              <w:jc w:val="center"/>
              <w:rPr>
                <w:rFonts w:hint="eastAsia" w:ascii="宋体" w:hAnsi="宋体" w:eastAsia="宋体"/>
                <w:sz w:val="24"/>
                <w:lang w:eastAsia="zh-CN"/>
              </w:rPr>
            </w:pPr>
            <w:r>
              <w:rPr>
                <w:rFonts w:hint="eastAsia" w:ascii="宋体" w:hAnsi="宋体"/>
                <w:sz w:val="24"/>
                <w:lang w:eastAsia="zh-CN"/>
              </w:rPr>
              <w:t>364450</w:t>
            </w:r>
          </w:p>
        </w:tc>
      </w:tr>
    </w:tbl>
    <w:p>
      <w:pPr>
        <w:spacing w:line="400" w:lineRule="exact"/>
        <w:rPr>
          <w:rFonts w:hint="eastAsia" w:ascii="宋体" w:hAnsi="宋体"/>
          <w:b/>
          <w:snapToGrid w:val="0"/>
          <w:kern w:val="0"/>
          <w:sz w:val="28"/>
          <w:szCs w:val="28"/>
        </w:rPr>
      </w:pPr>
      <w:r>
        <w:rPr>
          <w:rFonts w:hint="eastAsia" w:ascii="宋体" w:hAnsi="宋体"/>
          <w:b/>
          <w:snapToGrid w:val="0"/>
          <w:kern w:val="0"/>
          <w:sz w:val="28"/>
          <w:szCs w:val="28"/>
        </w:rPr>
        <w:t>使用估价报告、估价结果有关的特别提示：</w:t>
      </w:r>
    </w:p>
    <w:p>
      <w:pPr>
        <w:spacing w:line="520" w:lineRule="exact"/>
        <w:ind w:firstLine="560" w:firstLineChars="200"/>
        <w:rPr>
          <w:rFonts w:hint="eastAsia" w:ascii="宋体" w:hAnsi="宋体" w:cs="宋体"/>
          <w:snapToGrid w:val="0"/>
          <w:kern w:val="0"/>
          <w:sz w:val="28"/>
          <w:szCs w:val="28"/>
        </w:rPr>
      </w:pPr>
      <w:r>
        <w:rPr>
          <w:rFonts w:hint="eastAsia" w:ascii="宋体" w:hAnsi="宋体" w:cs="宋体"/>
          <w:snapToGrid w:val="0"/>
          <w:kern w:val="0"/>
          <w:sz w:val="28"/>
          <w:szCs w:val="28"/>
        </w:rPr>
        <w:t>1、本估价报告有效使用期限为一年，即202</w:t>
      </w:r>
      <w:r>
        <w:rPr>
          <w:rFonts w:hint="eastAsia" w:ascii="宋体" w:hAnsi="宋体" w:cs="宋体"/>
          <w:snapToGrid w:val="0"/>
          <w:kern w:val="0"/>
          <w:sz w:val="28"/>
          <w:szCs w:val="28"/>
          <w:lang w:val="en-US" w:eastAsia="zh-CN"/>
        </w:rPr>
        <w:t>1</w:t>
      </w:r>
      <w:r>
        <w:rPr>
          <w:rFonts w:hint="eastAsia" w:ascii="宋体" w:hAnsi="宋体" w:cs="宋体"/>
          <w:snapToGrid w:val="0"/>
          <w:kern w:val="0"/>
          <w:sz w:val="28"/>
          <w:szCs w:val="28"/>
        </w:rPr>
        <w:t>年</w:t>
      </w:r>
      <w:r>
        <w:rPr>
          <w:rFonts w:hint="eastAsia" w:ascii="宋体" w:hAnsi="宋体" w:cs="宋体"/>
          <w:snapToGrid w:val="0"/>
          <w:kern w:val="0"/>
          <w:sz w:val="28"/>
          <w:szCs w:val="28"/>
          <w:lang w:val="en-US" w:eastAsia="zh-CN"/>
        </w:rPr>
        <w:t>7</w:t>
      </w:r>
      <w:r>
        <w:rPr>
          <w:rFonts w:hint="eastAsia" w:ascii="宋体" w:hAnsi="宋体" w:cs="宋体"/>
          <w:snapToGrid w:val="0"/>
          <w:kern w:val="0"/>
          <w:sz w:val="28"/>
          <w:szCs w:val="28"/>
        </w:rPr>
        <w:t>月</w:t>
      </w:r>
      <w:r>
        <w:rPr>
          <w:rFonts w:hint="eastAsia" w:ascii="宋体" w:hAnsi="宋体" w:cs="宋体"/>
          <w:snapToGrid w:val="0"/>
          <w:kern w:val="0"/>
          <w:sz w:val="28"/>
          <w:szCs w:val="28"/>
          <w:lang w:val="en-US" w:eastAsia="zh-CN"/>
        </w:rPr>
        <w:t>28</w:t>
      </w:r>
      <w:r>
        <w:rPr>
          <w:rFonts w:hint="eastAsia" w:ascii="宋体" w:hAnsi="宋体" w:cs="宋体"/>
          <w:snapToGrid w:val="0"/>
          <w:kern w:val="0"/>
          <w:sz w:val="28"/>
          <w:szCs w:val="28"/>
        </w:rPr>
        <w:t>日----202</w:t>
      </w:r>
      <w:r>
        <w:rPr>
          <w:rFonts w:hint="eastAsia" w:ascii="宋体" w:hAnsi="宋体" w:cs="宋体"/>
          <w:snapToGrid w:val="0"/>
          <w:kern w:val="0"/>
          <w:sz w:val="28"/>
          <w:szCs w:val="28"/>
          <w:lang w:val="en-US" w:eastAsia="zh-CN"/>
        </w:rPr>
        <w:t>2</w:t>
      </w:r>
      <w:r>
        <w:rPr>
          <w:rFonts w:hint="eastAsia" w:ascii="宋体" w:hAnsi="宋体" w:cs="宋体"/>
          <w:snapToGrid w:val="0"/>
          <w:kern w:val="0"/>
          <w:sz w:val="28"/>
          <w:szCs w:val="28"/>
        </w:rPr>
        <w:t>年</w:t>
      </w:r>
      <w:r>
        <w:rPr>
          <w:rFonts w:hint="eastAsia" w:ascii="宋体" w:hAnsi="宋体" w:cs="宋体"/>
          <w:snapToGrid w:val="0"/>
          <w:kern w:val="0"/>
          <w:sz w:val="28"/>
          <w:szCs w:val="28"/>
          <w:lang w:val="en-US" w:eastAsia="zh-CN"/>
        </w:rPr>
        <w:t>7</w:t>
      </w:r>
      <w:r>
        <w:rPr>
          <w:rFonts w:hint="eastAsia" w:ascii="宋体" w:hAnsi="宋体" w:cs="宋体"/>
          <w:snapToGrid w:val="0"/>
          <w:kern w:val="0"/>
          <w:sz w:val="28"/>
          <w:szCs w:val="28"/>
        </w:rPr>
        <w:t>月</w:t>
      </w:r>
      <w:r>
        <w:rPr>
          <w:rFonts w:hint="eastAsia" w:ascii="宋体" w:hAnsi="宋体" w:cs="宋体"/>
          <w:snapToGrid w:val="0"/>
          <w:kern w:val="0"/>
          <w:sz w:val="28"/>
          <w:szCs w:val="28"/>
          <w:lang w:val="en-US" w:eastAsia="zh-CN"/>
        </w:rPr>
        <w:t>27</w:t>
      </w:r>
      <w:r>
        <w:rPr>
          <w:rFonts w:hint="eastAsia" w:ascii="宋体" w:hAnsi="宋体" w:cs="宋体"/>
          <w:snapToGrid w:val="0"/>
          <w:kern w:val="0"/>
          <w:sz w:val="28"/>
          <w:szCs w:val="28"/>
        </w:rPr>
        <w:t>日 。</w:t>
      </w:r>
    </w:p>
    <w:p>
      <w:pPr>
        <w:spacing w:line="520" w:lineRule="exact"/>
        <w:ind w:firstLine="560" w:firstLineChars="200"/>
        <w:rPr>
          <w:rFonts w:hint="eastAsia" w:ascii="宋体" w:hAnsi="宋体" w:cs="宋体"/>
          <w:snapToGrid w:val="0"/>
          <w:kern w:val="0"/>
          <w:sz w:val="28"/>
          <w:szCs w:val="28"/>
        </w:rPr>
      </w:pPr>
      <w:r>
        <w:rPr>
          <w:rFonts w:hint="eastAsia" w:ascii="宋体" w:hAnsi="宋体" w:cs="宋体"/>
          <w:snapToGrid w:val="0"/>
          <w:kern w:val="0"/>
          <w:sz w:val="28"/>
          <w:szCs w:val="28"/>
        </w:rPr>
        <w:t>2、本报告估价结果在满足全部假设与限制条件下成立，报告使用人使用本报告时，如市场状况或估价对象权利状况、实物状况发生变化，足以影响估价对象价值时，应重新委托评估。</w:t>
      </w:r>
    </w:p>
    <w:p>
      <w:pPr>
        <w:spacing w:line="480" w:lineRule="exact"/>
        <w:ind w:firstLine="560" w:firstLineChars="200"/>
        <w:rPr>
          <w:rFonts w:hint="eastAsia" w:ascii="宋体" w:hAnsi="宋体" w:cs="宋体"/>
          <w:snapToGrid w:val="0"/>
          <w:kern w:val="0"/>
          <w:sz w:val="28"/>
          <w:szCs w:val="28"/>
        </w:rPr>
      </w:pPr>
      <w:r>
        <w:rPr>
          <w:rFonts w:hint="eastAsia" w:ascii="宋体" w:hAnsi="宋体"/>
          <w:snapToGrid w:val="0"/>
          <w:kern w:val="0"/>
          <w:sz w:val="28"/>
          <w:szCs w:val="28"/>
        </w:rPr>
        <w:t>3、</w:t>
      </w:r>
      <w:r>
        <w:rPr>
          <w:rFonts w:hint="eastAsia" w:ascii="宋体" w:hAnsi="宋体" w:cs="宋体"/>
          <w:sz w:val="28"/>
          <w:szCs w:val="28"/>
        </w:rPr>
        <w:t>本估价结果中未考虑交易过户时应缴纳的税费及产权人使用过程中所欠的物业费用、暖气费用、水电费用等，特提请估价委托人注意！</w:t>
      </w:r>
    </w:p>
    <w:p>
      <w:pPr>
        <w:spacing w:line="520" w:lineRule="exact"/>
        <w:ind w:firstLine="560" w:firstLineChars="200"/>
        <w:rPr>
          <w:rFonts w:hint="eastAsia" w:ascii="宋体" w:hAnsi="宋体"/>
          <w:snapToGrid w:val="0"/>
          <w:kern w:val="0"/>
          <w:sz w:val="28"/>
          <w:szCs w:val="28"/>
        </w:rPr>
      </w:pPr>
      <w:r>
        <w:rPr>
          <w:rFonts w:hint="eastAsia" w:ascii="宋体" w:hAnsi="宋体" w:cs="宋体"/>
          <w:snapToGrid w:val="0"/>
          <w:kern w:val="0"/>
          <w:sz w:val="28"/>
          <w:szCs w:val="28"/>
        </w:rPr>
        <w:t>4、欲知详情，请阅读本估价报告全文。</w:t>
      </w:r>
    </w:p>
    <w:p>
      <w:pPr>
        <w:spacing w:line="320" w:lineRule="exact"/>
        <w:ind w:right="560"/>
        <w:jc w:val="right"/>
        <w:rPr>
          <w:rFonts w:hint="eastAsia" w:ascii="宋体" w:hAnsi="宋体"/>
          <w:sz w:val="28"/>
        </w:rPr>
      </w:pPr>
    </w:p>
    <w:p>
      <w:pPr>
        <w:spacing w:line="320" w:lineRule="exact"/>
        <w:ind w:right="560"/>
        <w:jc w:val="right"/>
        <w:rPr>
          <w:rFonts w:hint="eastAsia" w:ascii="宋体" w:hAnsi="宋体"/>
          <w:sz w:val="28"/>
        </w:rPr>
      </w:pPr>
    </w:p>
    <w:p>
      <w:pPr>
        <w:spacing w:line="320" w:lineRule="exact"/>
        <w:ind w:right="560"/>
        <w:jc w:val="right"/>
        <w:rPr>
          <w:rFonts w:hint="eastAsia" w:ascii="宋体" w:hAnsi="宋体"/>
          <w:sz w:val="28"/>
        </w:rPr>
      </w:pPr>
      <w:r>
        <w:rPr>
          <w:rFonts w:hint="eastAsia" w:ascii="宋体" w:hAnsi="宋体"/>
          <w:sz w:val="28"/>
        </w:rPr>
        <w:t>顺致</w:t>
      </w:r>
    </w:p>
    <w:p>
      <w:pPr>
        <w:spacing w:line="320" w:lineRule="exact"/>
        <w:ind w:firstLine="560" w:firstLineChars="200"/>
        <w:rPr>
          <w:rFonts w:hint="eastAsia" w:ascii="宋体" w:hAnsi="宋体"/>
          <w:snapToGrid w:val="0"/>
          <w:kern w:val="0"/>
          <w:sz w:val="28"/>
          <w:szCs w:val="28"/>
        </w:rPr>
      </w:pPr>
      <w:r>
        <w:rPr>
          <w:rFonts w:hint="eastAsia" w:ascii="宋体" w:hAnsi="宋体"/>
          <w:snapToGrid w:val="0"/>
          <w:kern w:val="0"/>
          <w:sz w:val="28"/>
          <w:szCs w:val="28"/>
        </w:rPr>
        <w:t>商安</w:t>
      </w:r>
    </w:p>
    <w:p>
      <w:pPr>
        <w:spacing w:line="320" w:lineRule="exact"/>
        <w:ind w:firstLine="560" w:firstLineChars="200"/>
        <w:rPr>
          <w:rFonts w:hint="eastAsia" w:ascii="宋体" w:hAnsi="宋体"/>
          <w:snapToGrid w:val="0"/>
          <w:kern w:val="0"/>
          <w:sz w:val="28"/>
          <w:szCs w:val="28"/>
        </w:rPr>
      </w:pPr>
      <w:r>
        <w:rPr>
          <w:rFonts w:hint="eastAsia" w:ascii="宋体" w:hAnsi="宋体"/>
          <w:snapToGrid w:val="0"/>
          <w:kern w:val="0"/>
          <w:sz w:val="28"/>
          <w:szCs w:val="28"/>
        </w:rPr>
        <w:t>法人代表(签章)：</w:t>
      </w:r>
    </w:p>
    <w:p>
      <w:pPr>
        <w:spacing w:line="320" w:lineRule="exact"/>
        <w:ind w:firstLine="560" w:firstLineChars="200"/>
        <w:jc w:val="right"/>
        <w:rPr>
          <w:rFonts w:hint="eastAsia" w:ascii="宋体" w:hAnsi="宋体"/>
          <w:snapToGrid w:val="0"/>
          <w:kern w:val="0"/>
          <w:sz w:val="28"/>
          <w:szCs w:val="28"/>
          <w:lang w:eastAsia="zh-CN"/>
        </w:rPr>
      </w:pPr>
    </w:p>
    <w:p>
      <w:pPr>
        <w:spacing w:line="320" w:lineRule="exact"/>
        <w:ind w:firstLine="560" w:firstLineChars="200"/>
        <w:jc w:val="right"/>
        <w:rPr>
          <w:rFonts w:hint="eastAsia" w:ascii="宋体" w:hAnsi="宋体"/>
          <w:snapToGrid w:val="0"/>
          <w:kern w:val="0"/>
          <w:sz w:val="28"/>
          <w:szCs w:val="28"/>
          <w:lang w:eastAsia="zh-CN"/>
        </w:rPr>
      </w:pPr>
    </w:p>
    <w:p>
      <w:pPr>
        <w:spacing w:line="320" w:lineRule="exact"/>
        <w:ind w:firstLine="560" w:firstLineChars="200"/>
        <w:jc w:val="right"/>
        <w:rPr>
          <w:rFonts w:hint="eastAsia" w:ascii="宋体" w:hAnsi="宋体"/>
          <w:snapToGrid w:val="0"/>
          <w:kern w:val="0"/>
          <w:sz w:val="28"/>
          <w:szCs w:val="28"/>
          <w:lang w:eastAsia="zh-CN"/>
        </w:rPr>
      </w:pPr>
    </w:p>
    <w:p>
      <w:pPr>
        <w:spacing w:line="320" w:lineRule="exact"/>
        <w:ind w:firstLine="560" w:firstLineChars="200"/>
        <w:jc w:val="right"/>
        <w:rPr>
          <w:rFonts w:hint="eastAsia" w:ascii="宋体" w:hAnsi="宋体"/>
          <w:snapToGrid w:val="0"/>
          <w:kern w:val="0"/>
          <w:sz w:val="28"/>
          <w:szCs w:val="28"/>
          <w:lang w:eastAsia="zh-CN"/>
        </w:rPr>
      </w:pPr>
    </w:p>
    <w:p>
      <w:pPr>
        <w:spacing w:line="320" w:lineRule="exact"/>
        <w:ind w:firstLine="560" w:firstLineChars="200"/>
        <w:jc w:val="right"/>
        <w:rPr>
          <w:rFonts w:hint="eastAsia" w:ascii="宋体" w:hAnsi="宋体"/>
          <w:snapToGrid w:val="0"/>
          <w:kern w:val="0"/>
          <w:sz w:val="28"/>
          <w:szCs w:val="28"/>
        </w:rPr>
      </w:pPr>
      <w:r>
        <w:rPr>
          <w:rFonts w:hint="eastAsia" w:ascii="宋体" w:hAnsi="宋体"/>
          <w:snapToGrid w:val="0"/>
          <w:kern w:val="0"/>
          <w:sz w:val="28"/>
          <w:szCs w:val="28"/>
          <w:lang w:eastAsia="zh-CN"/>
        </w:rPr>
        <w:t>宁夏正达通房地产资产评估有限公司</w:t>
      </w:r>
    </w:p>
    <w:p>
      <w:pPr>
        <w:spacing w:line="320" w:lineRule="exact"/>
        <w:ind w:right="840" w:firstLine="560" w:firstLineChars="200"/>
        <w:jc w:val="right"/>
        <w:rPr>
          <w:rFonts w:hint="eastAsia" w:ascii="宋体" w:hAnsi="宋体"/>
          <w:snapToGrid w:val="0"/>
          <w:kern w:val="0"/>
          <w:sz w:val="28"/>
          <w:szCs w:val="28"/>
        </w:rPr>
      </w:pPr>
      <w:r>
        <w:rPr>
          <w:rFonts w:hint="eastAsia" w:ascii="宋体" w:hAnsi="宋体"/>
          <w:snapToGrid w:val="0"/>
          <w:kern w:val="0"/>
          <w:sz w:val="28"/>
          <w:szCs w:val="28"/>
        </w:rPr>
        <w:t>二〇二一年</w:t>
      </w:r>
      <w:r>
        <w:rPr>
          <w:rFonts w:hint="eastAsia" w:ascii="宋体" w:hAnsi="宋体"/>
          <w:snapToGrid w:val="0"/>
          <w:kern w:val="0"/>
          <w:sz w:val="28"/>
          <w:szCs w:val="28"/>
          <w:lang w:eastAsia="zh-CN"/>
        </w:rPr>
        <w:t>七</w:t>
      </w:r>
      <w:r>
        <w:rPr>
          <w:rFonts w:hint="eastAsia" w:ascii="宋体" w:hAnsi="宋体"/>
          <w:snapToGrid w:val="0"/>
          <w:kern w:val="0"/>
          <w:sz w:val="28"/>
          <w:szCs w:val="28"/>
        </w:rPr>
        <w:t>月</w:t>
      </w:r>
      <w:r>
        <w:rPr>
          <w:rFonts w:hint="eastAsia" w:ascii="宋体" w:hAnsi="宋体"/>
          <w:snapToGrid w:val="0"/>
          <w:kern w:val="0"/>
          <w:sz w:val="28"/>
          <w:szCs w:val="28"/>
          <w:lang w:eastAsia="zh-CN"/>
        </w:rPr>
        <w:t>二十八</w:t>
      </w:r>
      <w:r>
        <w:rPr>
          <w:rFonts w:hint="eastAsia" w:ascii="宋体" w:hAnsi="宋体"/>
          <w:snapToGrid w:val="0"/>
          <w:kern w:val="0"/>
          <w:sz w:val="28"/>
          <w:szCs w:val="28"/>
        </w:rPr>
        <w:t xml:space="preserve">日  </w:t>
      </w:r>
    </w:p>
    <w:p>
      <w:pPr>
        <w:spacing w:line="320" w:lineRule="exact"/>
        <w:ind w:right="840" w:firstLine="560" w:firstLineChars="200"/>
        <w:jc w:val="right"/>
        <w:rPr>
          <w:rFonts w:hint="eastAsia" w:ascii="宋体" w:hAnsi="宋体"/>
          <w:snapToGrid w:val="0"/>
          <w:kern w:val="0"/>
          <w:sz w:val="28"/>
          <w:szCs w:val="28"/>
        </w:rPr>
      </w:pPr>
    </w:p>
    <w:p>
      <w:pPr>
        <w:spacing w:line="480" w:lineRule="exact"/>
        <w:jc w:val="center"/>
        <w:rPr>
          <w:rFonts w:hint="eastAsia" w:ascii="宋体" w:hAnsi="宋体"/>
          <w:b/>
          <w:bCs/>
          <w:sz w:val="44"/>
          <w:szCs w:val="44"/>
        </w:rPr>
      </w:pPr>
    </w:p>
    <w:p>
      <w:pPr>
        <w:spacing w:line="480" w:lineRule="exact"/>
        <w:jc w:val="center"/>
        <w:rPr>
          <w:rFonts w:hint="eastAsia" w:ascii="宋体" w:hAnsi="宋体"/>
          <w:b/>
          <w:bCs/>
          <w:sz w:val="44"/>
          <w:szCs w:val="44"/>
        </w:rPr>
      </w:pPr>
    </w:p>
    <w:p>
      <w:pPr>
        <w:spacing w:line="480" w:lineRule="exact"/>
        <w:jc w:val="center"/>
        <w:rPr>
          <w:rFonts w:hint="eastAsia" w:ascii="宋体" w:hAnsi="宋体"/>
          <w:b/>
          <w:bCs/>
          <w:sz w:val="44"/>
          <w:szCs w:val="44"/>
        </w:rPr>
      </w:pPr>
    </w:p>
    <w:p>
      <w:pPr>
        <w:spacing w:line="480" w:lineRule="exact"/>
        <w:jc w:val="center"/>
        <w:rPr>
          <w:rFonts w:hint="eastAsia" w:ascii="宋体" w:hAnsi="宋体"/>
          <w:b/>
          <w:bCs/>
          <w:sz w:val="44"/>
          <w:szCs w:val="44"/>
        </w:rPr>
      </w:pPr>
    </w:p>
    <w:p>
      <w:pPr>
        <w:spacing w:line="480" w:lineRule="exact"/>
        <w:jc w:val="center"/>
        <w:rPr>
          <w:rFonts w:hint="eastAsia" w:ascii="宋体" w:hAnsi="宋体"/>
          <w:b/>
          <w:bCs/>
          <w:sz w:val="44"/>
          <w:szCs w:val="44"/>
        </w:rPr>
      </w:pPr>
    </w:p>
    <w:p>
      <w:pPr>
        <w:spacing w:line="480" w:lineRule="exact"/>
        <w:jc w:val="center"/>
        <w:rPr>
          <w:rFonts w:hint="eastAsia" w:ascii="宋体" w:hAnsi="宋体"/>
          <w:b/>
          <w:bCs/>
          <w:sz w:val="44"/>
          <w:szCs w:val="44"/>
        </w:rPr>
      </w:pPr>
    </w:p>
    <w:p>
      <w:pPr>
        <w:spacing w:line="480" w:lineRule="exact"/>
        <w:jc w:val="center"/>
        <w:rPr>
          <w:rFonts w:hint="eastAsia" w:ascii="宋体" w:hAnsi="宋体"/>
          <w:b/>
          <w:bCs/>
          <w:sz w:val="44"/>
          <w:szCs w:val="44"/>
        </w:rPr>
      </w:pPr>
    </w:p>
    <w:p>
      <w:pPr>
        <w:spacing w:line="480" w:lineRule="exact"/>
        <w:jc w:val="center"/>
        <w:rPr>
          <w:rFonts w:hint="eastAsia" w:ascii="宋体" w:hAnsi="宋体"/>
          <w:b/>
          <w:bCs/>
          <w:sz w:val="44"/>
          <w:szCs w:val="44"/>
        </w:rPr>
      </w:pPr>
    </w:p>
    <w:p>
      <w:pPr>
        <w:spacing w:line="480" w:lineRule="exact"/>
        <w:jc w:val="center"/>
        <w:rPr>
          <w:rFonts w:hint="eastAsia" w:ascii="宋体" w:hAnsi="宋体"/>
          <w:b/>
          <w:bCs/>
          <w:sz w:val="44"/>
          <w:szCs w:val="44"/>
        </w:rPr>
      </w:pPr>
    </w:p>
    <w:p>
      <w:pPr>
        <w:rPr>
          <w:b/>
          <w:sz w:val="36"/>
          <w:szCs w:val="36"/>
        </w:rPr>
        <w:sectPr>
          <w:headerReference r:id="rId4" w:type="first"/>
          <w:footerReference r:id="rId6" w:type="first"/>
          <w:headerReference r:id="rId3" w:type="default"/>
          <w:footerReference r:id="rId5" w:type="default"/>
          <w:pgSz w:w="11906" w:h="16838"/>
          <w:pgMar w:top="1417" w:right="1418" w:bottom="1417" w:left="1701" w:header="680" w:footer="567" w:gutter="0"/>
          <w:pgNumType w:start="0"/>
          <w:cols w:space="720" w:num="1"/>
          <w:titlePg/>
          <w:docGrid w:type="lines" w:linePitch="312" w:charSpace="0"/>
        </w:sectPr>
      </w:pPr>
    </w:p>
    <w:p>
      <w:pPr>
        <w:pStyle w:val="12"/>
        <w:jc w:val="center"/>
        <w:rPr>
          <w:sz w:val="44"/>
          <w:szCs w:val="44"/>
        </w:rPr>
      </w:pPr>
      <w:r>
        <w:rPr>
          <w:sz w:val="44"/>
          <w:szCs w:val="44"/>
          <w:lang w:val="zh-CN"/>
        </w:rPr>
        <w:t>目录</w:t>
      </w:r>
    </w:p>
    <w:p>
      <w:pPr>
        <w:pStyle w:val="6"/>
        <w:spacing w:line="360" w:lineRule="exact"/>
        <w:rPr>
          <w:color w:val="auto"/>
          <w:sz w:val="28"/>
          <w:szCs w:val="28"/>
        </w:rPr>
      </w:pPr>
      <w:r>
        <w:rPr>
          <w:color w:val="auto"/>
        </w:rPr>
        <w:fldChar w:fldCharType="begin"/>
      </w:r>
      <w:r>
        <w:rPr>
          <w:color w:val="auto"/>
        </w:rPr>
        <w:instrText xml:space="preserve"> TOC \o "1-3" \h \z \u </w:instrText>
      </w:r>
      <w:r>
        <w:rPr>
          <w:color w:val="auto"/>
        </w:rPr>
        <w:fldChar w:fldCharType="separate"/>
      </w:r>
      <w:r>
        <w:rPr>
          <w:rFonts w:hint="default"/>
          <w:sz w:val="28"/>
          <w:szCs w:val="28"/>
        </w:rPr>
        <w:fldChar w:fldCharType="begin"/>
      </w:r>
      <w:r>
        <w:rPr>
          <w:rStyle w:val="11"/>
          <w:rFonts w:hint="default"/>
          <w:sz w:val="28"/>
          <w:szCs w:val="28"/>
        </w:rPr>
        <w:instrText xml:space="preserve"> </w:instrText>
      </w:r>
      <w:r>
        <w:rPr>
          <w:sz w:val="28"/>
          <w:szCs w:val="28"/>
        </w:rPr>
        <w:instrText xml:space="preserve">HYPERLINK \l "_Toc61938691"</w:instrText>
      </w:r>
      <w:r>
        <w:rPr>
          <w:rStyle w:val="11"/>
          <w:rFonts w:hint="default"/>
          <w:sz w:val="28"/>
          <w:szCs w:val="28"/>
        </w:rPr>
        <w:instrText xml:space="preserve"> </w:instrText>
      </w:r>
      <w:r>
        <w:rPr>
          <w:rFonts w:hint="default"/>
          <w:sz w:val="28"/>
          <w:szCs w:val="28"/>
        </w:rPr>
        <w:fldChar w:fldCharType="separate"/>
      </w:r>
      <w:r>
        <w:rPr>
          <w:rStyle w:val="11"/>
          <w:rFonts w:hint="default"/>
          <w:sz w:val="28"/>
          <w:szCs w:val="28"/>
        </w:rPr>
        <w:t>估价师声明</w:t>
      </w:r>
      <w:r>
        <w:rPr>
          <w:sz w:val="28"/>
          <w:szCs w:val="28"/>
        </w:rPr>
        <w:tab/>
      </w:r>
      <w:r>
        <w:rPr>
          <w:sz w:val="28"/>
          <w:szCs w:val="28"/>
        </w:rPr>
        <w:fldChar w:fldCharType="begin"/>
      </w:r>
      <w:r>
        <w:rPr>
          <w:sz w:val="28"/>
          <w:szCs w:val="28"/>
        </w:rPr>
        <w:instrText xml:space="preserve"> PAGEREF _Toc61938691 \h </w:instrText>
      </w:r>
      <w:r>
        <w:rPr>
          <w:sz w:val="28"/>
          <w:szCs w:val="28"/>
        </w:rPr>
        <w:fldChar w:fldCharType="separate"/>
      </w:r>
      <w:r>
        <w:rPr>
          <w:sz w:val="28"/>
          <w:szCs w:val="28"/>
        </w:rPr>
        <w:t>1</w:t>
      </w:r>
      <w:r>
        <w:rPr>
          <w:sz w:val="28"/>
          <w:szCs w:val="28"/>
        </w:rPr>
        <w:fldChar w:fldCharType="end"/>
      </w:r>
      <w:r>
        <w:rPr>
          <w:rFonts w:hint="default"/>
          <w:sz w:val="28"/>
          <w:szCs w:val="28"/>
        </w:rPr>
        <w:fldChar w:fldCharType="end"/>
      </w:r>
    </w:p>
    <w:p>
      <w:pPr>
        <w:pStyle w:val="6"/>
        <w:spacing w:line="360" w:lineRule="exact"/>
        <w:rPr>
          <w:color w:val="auto"/>
          <w:sz w:val="28"/>
          <w:szCs w:val="28"/>
        </w:rPr>
      </w:pPr>
      <w:r>
        <w:rPr>
          <w:rFonts w:hint="default"/>
          <w:sz w:val="28"/>
          <w:szCs w:val="28"/>
        </w:rPr>
        <w:fldChar w:fldCharType="begin"/>
      </w:r>
      <w:r>
        <w:rPr>
          <w:rStyle w:val="11"/>
          <w:rFonts w:hint="default"/>
          <w:sz w:val="28"/>
          <w:szCs w:val="28"/>
        </w:rPr>
        <w:instrText xml:space="preserve"> </w:instrText>
      </w:r>
      <w:r>
        <w:rPr>
          <w:sz w:val="28"/>
          <w:szCs w:val="28"/>
        </w:rPr>
        <w:instrText xml:space="preserve">HYPERLINK \l "_Toc61938692"</w:instrText>
      </w:r>
      <w:r>
        <w:rPr>
          <w:rStyle w:val="11"/>
          <w:rFonts w:hint="default"/>
          <w:sz w:val="28"/>
          <w:szCs w:val="28"/>
        </w:rPr>
        <w:instrText xml:space="preserve"> </w:instrText>
      </w:r>
      <w:r>
        <w:rPr>
          <w:rFonts w:hint="default"/>
          <w:sz w:val="28"/>
          <w:szCs w:val="28"/>
        </w:rPr>
        <w:fldChar w:fldCharType="separate"/>
      </w:r>
      <w:r>
        <w:rPr>
          <w:rStyle w:val="11"/>
          <w:rFonts w:hint="default"/>
          <w:sz w:val="28"/>
          <w:szCs w:val="28"/>
        </w:rPr>
        <w:t>估价的假设和限制条件</w:t>
      </w:r>
      <w:r>
        <w:rPr>
          <w:sz w:val="28"/>
          <w:szCs w:val="28"/>
        </w:rPr>
        <w:tab/>
      </w:r>
      <w:r>
        <w:rPr>
          <w:sz w:val="28"/>
          <w:szCs w:val="28"/>
        </w:rPr>
        <w:fldChar w:fldCharType="begin"/>
      </w:r>
      <w:r>
        <w:rPr>
          <w:sz w:val="28"/>
          <w:szCs w:val="28"/>
        </w:rPr>
        <w:instrText xml:space="preserve"> PAGEREF _Toc61938692 \h </w:instrText>
      </w:r>
      <w:r>
        <w:rPr>
          <w:sz w:val="28"/>
          <w:szCs w:val="28"/>
        </w:rPr>
        <w:fldChar w:fldCharType="separate"/>
      </w:r>
      <w:r>
        <w:rPr>
          <w:sz w:val="28"/>
          <w:szCs w:val="28"/>
        </w:rPr>
        <w:t>2</w:t>
      </w:r>
      <w:r>
        <w:rPr>
          <w:sz w:val="28"/>
          <w:szCs w:val="28"/>
        </w:rPr>
        <w:fldChar w:fldCharType="end"/>
      </w:r>
      <w:r>
        <w:rPr>
          <w:rFonts w:hint="default"/>
          <w:sz w:val="28"/>
          <w:szCs w:val="28"/>
        </w:rPr>
        <w:fldChar w:fldCharType="end"/>
      </w:r>
    </w:p>
    <w:p>
      <w:pPr>
        <w:pStyle w:val="6"/>
        <w:spacing w:line="360" w:lineRule="exact"/>
        <w:rPr>
          <w:color w:val="auto"/>
          <w:sz w:val="28"/>
          <w:szCs w:val="28"/>
        </w:rPr>
      </w:pPr>
      <w:r>
        <w:rPr>
          <w:rFonts w:hint="default"/>
          <w:sz w:val="28"/>
          <w:szCs w:val="28"/>
        </w:rPr>
        <w:fldChar w:fldCharType="begin"/>
      </w:r>
      <w:r>
        <w:rPr>
          <w:rStyle w:val="11"/>
          <w:rFonts w:hint="default"/>
          <w:sz w:val="28"/>
          <w:szCs w:val="28"/>
        </w:rPr>
        <w:instrText xml:space="preserve"> </w:instrText>
      </w:r>
      <w:r>
        <w:rPr>
          <w:sz w:val="28"/>
          <w:szCs w:val="28"/>
        </w:rPr>
        <w:instrText xml:space="preserve">HYPERLINK \l "_Toc61938693"</w:instrText>
      </w:r>
      <w:r>
        <w:rPr>
          <w:rStyle w:val="11"/>
          <w:rFonts w:hint="default"/>
          <w:sz w:val="28"/>
          <w:szCs w:val="28"/>
        </w:rPr>
        <w:instrText xml:space="preserve"> </w:instrText>
      </w:r>
      <w:r>
        <w:rPr>
          <w:rFonts w:hint="default"/>
          <w:sz w:val="28"/>
          <w:szCs w:val="28"/>
        </w:rPr>
        <w:fldChar w:fldCharType="separate"/>
      </w:r>
      <w:r>
        <w:rPr>
          <w:rStyle w:val="11"/>
          <w:rFonts w:hint="default"/>
          <w:sz w:val="28"/>
          <w:szCs w:val="28"/>
        </w:rPr>
        <w:t>估价结果报告</w:t>
      </w:r>
      <w:r>
        <w:rPr>
          <w:sz w:val="28"/>
          <w:szCs w:val="28"/>
        </w:rPr>
        <w:tab/>
      </w:r>
      <w:r>
        <w:rPr>
          <w:sz w:val="28"/>
          <w:szCs w:val="28"/>
        </w:rPr>
        <w:fldChar w:fldCharType="begin"/>
      </w:r>
      <w:r>
        <w:rPr>
          <w:sz w:val="28"/>
          <w:szCs w:val="28"/>
        </w:rPr>
        <w:instrText xml:space="preserve"> PAGEREF _Toc61938693 \h </w:instrText>
      </w:r>
      <w:r>
        <w:rPr>
          <w:sz w:val="28"/>
          <w:szCs w:val="28"/>
        </w:rPr>
        <w:fldChar w:fldCharType="separate"/>
      </w:r>
      <w:r>
        <w:rPr>
          <w:sz w:val="28"/>
          <w:szCs w:val="28"/>
        </w:rPr>
        <w:t>5</w:t>
      </w:r>
      <w:r>
        <w:rPr>
          <w:sz w:val="28"/>
          <w:szCs w:val="28"/>
        </w:rPr>
        <w:fldChar w:fldCharType="end"/>
      </w:r>
      <w:r>
        <w:rPr>
          <w:rFonts w:hint="default"/>
          <w:sz w:val="28"/>
          <w:szCs w:val="28"/>
        </w:rPr>
        <w:fldChar w:fldCharType="end"/>
      </w:r>
    </w:p>
    <w:p>
      <w:pPr>
        <w:pStyle w:val="6"/>
        <w:spacing w:line="360" w:lineRule="exact"/>
        <w:rPr>
          <w:color w:val="auto"/>
          <w:sz w:val="28"/>
          <w:szCs w:val="28"/>
        </w:rPr>
      </w:pPr>
      <w:r>
        <w:rPr>
          <w:rFonts w:hint="default"/>
          <w:sz w:val="28"/>
          <w:szCs w:val="28"/>
        </w:rPr>
        <w:fldChar w:fldCharType="begin"/>
      </w:r>
      <w:r>
        <w:rPr>
          <w:rStyle w:val="11"/>
          <w:rFonts w:hint="default"/>
          <w:sz w:val="28"/>
          <w:szCs w:val="28"/>
        </w:rPr>
        <w:instrText xml:space="preserve"> </w:instrText>
      </w:r>
      <w:r>
        <w:rPr>
          <w:sz w:val="28"/>
          <w:szCs w:val="28"/>
        </w:rPr>
        <w:instrText xml:space="preserve">HYPERLINK \l "_Toc61938694"</w:instrText>
      </w:r>
      <w:r>
        <w:rPr>
          <w:rStyle w:val="11"/>
          <w:rFonts w:hint="default"/>
          <w:sz w:val="28"/>
          <w:szCs w:val="28"/>
        </w:rPr>
        <w:instrText xml:space="preserve"> </w:instrText>
      </w:r>
      <w:r>
        <w:rPr>
          <w:rFonts w:hint="default"/>
          <w:sz w:val="28"/>
          <w:szCs w:val="28"/>
        </w:rPr>
        <w:fldChar w:fldCharType="separate"/>
      </w:r>
      <w:r>
        <w:rPr>
          <w:rStyle w:val="11"/>
          <w:rFonts w:hint="default"/>
          <w:sz w:val="28"/>
          <w:szCs w:val="28"/>
        </w:rPr>
        <w:t>一、估价委托人：</w:t>
      </w:r>
      <w:r>
        <w:rPr>
          <w:sz w:val="28"/>
          <w:szCs w:val="28"/>
        </w:rPr>
        <w:tab/>
      </w:r>
      <w:r>
        <w:rPr>
          <w:sz w:val="28"/>
          <w:szCs w:val="28"/>
        </w:rPr>
        <w:fldChar w:fldCharType="begin"/>
      </w:r>
      <w:r>
        <w:rPr>
          <w:sz w:val="28"/>
          <w:szCs w:val="28"/>
        </w:rPr>
        <w:instrText xml:space="preserve"> PAGEREF _Toc61938694 \h </w:instrText>
      </w:r>
      <w:r>
        <w:rPr>
          <w:sz w:val="28"/>
          <w:szCs w:val="28"/>
        </w:rPr>
        <w:fldChar w:fldCharType="separate"/>
      </w:r>
      <w:r>
        <w:rPr>
          <w:sz w:val="28"/>
          <w:szCs w:val="28"/>
        </w:rPr>
        <w:t>5</w:t>
      </w:r>
      <w:r>
        <w:rPr>
          <w:sz w:val="28"/>
          <w:szCs w:val="28"/>
        </w:rPr>
        <w:fldChar w:fldCharType="end"/>
      </w:r>
      <w:r>
        <w:rPr>
          <w:rFonts w:hint="default"/>
          <w:sz w:val="28"/>
          <w:szCs w:val="28"/>
        </w:rPr>
        <w:fldChar w:fldCharType="end"/>
      </w:r>
    </w:p>
    <w:p>
      <w:pPr>
        <w:pStyle w:val="6"/>
        <w:spacing w:line="360" w:lineRule="exact"/>
        <w:rPr>
          <w:color w:val="auto"/>
          <w:sz w:val="28"/>
          <w:szCs w:val="28"/>
        </w:rPr>
      </w:pPr>
      <w:r>
        <w:rPr>
          <w:rFonts w:hint="default"/>
          <w:sz w:val="28"/>
          <w:szCs w:val="28"/>
        </w:rPr>
        <w:fldChar w:fldCharType="begin"/>
      </w:r>
      <w:r>
        <w:rPr>
          <w:rStyle w:val="11"/>
          <w:rFonts w:hint="default"/>
          <w:sz w:val="28"/>
          <w:szCs w:val="28"/>
        </w:rPr>
        <w:instrText xml:space="preserve"> </w:instrText>
      </w:r>
      <w:r>
        <w:rPr>
          <w:sz w:val="28"/>
          <w:szCs w:val="28"/>
        </w:rPr>
        <w:instrText xml:space="preserve">HYPERLINK \l "_Toc61938695"</w:instrText>
      </w:r>
      <w:r>
        <w:rPr>
          <w:rStyle w:val="11"/>
          <w:rFonts w:hint="default"/>
          <w:sz w:val="28"/>
          <w:szCs w:val="28"/>
        </w:rPr>
        <w:instrText xml:space="preserve"> </w:instrText>
      </w:r>
      <w:r>
        <w:rPr>
          <w:rFonts w:hint="default"/>
          <w:sz w:val="28"/>
          <w:szCs w:val="28"/>
        </w:rPr>
        <w:fldChar w:fldCharType="separate"/>
      </w:r>
      <w:r>
        <w:rPr>
          <w:rStyle w:val="11"/>
          <w:rFonts w:hint="default"/>
          <w:sz w:val="28"/>
          <w:szCs w:val="28"/>
        </w:rPr>
        <w:t>二、房地产估价机构：</w:t>
      </w:r>
      <w:r>
        <w:rPr>
          <w:sz w:val="28"/>
          <w:szCs w:val="28"/>
        </w:rPr>
        <w:tab/>
      </w:r>
      <w:r>
        <w:rPr>
          <w:sz w:val="28"/>
          <w:szCs w:val="28"/>
        </w:rPr>
        <w:fldChar w:fldCharType="begin"/>
      </w:r>
      <w:r>
        <w:rPr>
          <w:sz w:val="28"/>
          <w:szCs w:val="28"/>
        </w:rPr>
        <w:instrText xml:space="preserve"> PAGEREF _Toc61938695 \h </w:instrText>
      </w:r>
      <w:r>
        <w:rPr>
          <w:sz w:val="28"/>
          <w:szCs w:val="28"/>
        </w:rPr>
        <w:fldChar w:fldCharType="separate"/>
      </w:r>
      <w:r>
        <w:rPr>
          <w:sz w:val="28"/>
          <w:szCs w:val="28"/>
        </w:rPr>
        <w:t>5</w:t>
      </w:r>
      <w:r>
        <w:rPr>
          <w:sz w:val="28"/>
          <w:szCs w:val="28"/>
        </w:rPr>
        <w:fldChar w:fldCharType="end"/>
      </w:r>
      <w:r>
        <w:rPr>
          <w:rFonts w:hint="default"/>
          <w:sz w:val="28"/>
          <w:szCs w:val="28"/>
        </w:rPr>
        <w:fldChar w:fldCharType="end"/>
      </w:r>
    </w:p>
    <w:p>
      <w:pPr>
        <w:pStyle w:val="6"/>
        <w:spacing w:line="360" w:lineRule="exact"/>
        <w:rPr>
          <w:color w:val="auto"/>
          <w:sz w:val="28"/>
          <w:szCs w:val="28"/>
        </w:rPr>
      </w:pPr>
      <w:r>
        <w:rPr>
          <w:rFonts w:hint="default"/>
          <w:sz w:val="28"/>
          <w:szCs w:val="28"/>
        </w:rPr>
        <w:fldChar w:fldCharType="begin"/>
      </w:r>
      <w:r>
        <w:rPr>
          <w:rStyle w:val="11"/>
          <w:rFonts w:hint="default"/>
          <w:sz w:val="28"/>
          <w:szCs w:val="28"/>
        </w:rPr>
        <w:instrText xml:space="preserve"> </w:instrText>
      </w:r>
      <w:r>
        <w:rPr>
          <w:sz w:val="28"/>
          <w:szCs w:val="28"/>
        </w:rPr>
        <w:instrText xml:space="preserve">HYPERLINK \l "_Toc61938696"</w:instrText>
      </w:r>
      <w:r>
        <w:rPr>
          <w:rStyle w:val="11"/>
          <w:rFonts w:hint="default"/>
          <w:sz w:val="28"/>
          <w:szCs w:val="28"/>
        </w:rPr>
        <w:instrText xml:space="preserve"> </w:instrText>
      </w:r>
      <w:r>
        <w:rPr>
          <w:rFonts w:hint="default"/>
          <w:sz w:val="28"/>
          <w:szCs w:val="28"/>
        </w:rPr>
        <w:fldChar w:fldCharType="separate"/>
      </w:r>
      <w:r>
        <w:rPr>
          <w:rStyle w:val="11"/>
          <w:rFonts w:hint="default"/>
          <w:sz w:val="28"/>
          <w:szCs w:val="28"/>
        </w:rPr>
        <w:t>三、估价目的：</w:t>
      </w:r>
      <w:r>
        <w:rPr>
          <w:sz w:val="28"/>
          <w:szCs w:val="28"/>
        </w:rPr>
        <w:tab/>
      </w:r>
      <w:r>
        <w:rPr>
          <w:sz w:val="28"/>
          <w:szCs w:val="28"/>
        </w:rPr>
        <w:fldChar w:fldCharType="begin"/>
      </w:r>
      <w:r>
        <w:rPr>
          <w:sz w:val="28"/>
          <w:szCs w:val="28"/>
        </w:rPr>
        <w:instrText xml:space="preserve"> PAGEREF _Toc61938696 \h </w:instrText>
      </w:r>
      <w:r>
        <w:rPr>
          <w:sz w:val="28"/>
          <w:szCs w:val="28"/>
        </w:rPr>
        <w:fldChar w:fldCharType="separate"/>
      </w:r>
      <w:r>
        <w:rPr>
          <w:sz w:val="28"/>
          <w:szCs w:val="28"/>
        </w:rPr>
        <w:t>5</w:t>
      </w:r>
      <w:r>
        <w:rPr>
          <w:sz w:val="28"/>
          <w:szCs w:val="28"/>
        </w:rPr>
        <w:fldChar w:fldCharType="end"/>
      </w:r>
      <w:r>
        <w:rPr>
          <w:rFonts w:hint="default"/>
          <w:sz w:val="28"/>
          <w:szCs w:val="28"/>
        </w:rPr>
        <w:fldChar w:fldCharType="end"/>
      </w:r>
    </w:p>
    <w:p>
      <w:pPr>
        <w:pStyle w:val="6"/>
        <w:spacing w:line="360" w:lineRule="exact"/>
        <w:rPr>
          <w:color w:val="auto"/>
          <w:sz w:val="28"/>
          <w:szCs w:val="28"/>
        </w:rPr>
      </w:pPr>
      <w:r>
        <w:rPr>
          <w:rFonts w:hint="default"/>
          <w:sz w:val="28"/>
          <w:szCs w:val="28"/>
        </w:rPr>
        <w:fldChar w:fldCharType="begin"/>
      </w:r>
      <w:r>
        <w:rPr>
          <w:rStyle w:val="11"/>
          <w:rFonts w:hint="default"/>
          <w:sz w:val="28"/>
          <w:szCs w:val="28"/>
        </w:rPr>
        <w:instrText xml:space="preserve"> </w:instrText>
      </w:r>
      <w:r>
        <w:rPr>
          <w:sz w:val="28"/>
          <w:szCs w:val="28"/>
        </w:rPr>
        <w:instrText xml:space="preserve">HYPERLINK \l "_Toc61938697"</w:instrText>
      </w:r>
      <w:r>
        <w:rPr>
          <w:rStyle w:val="11"/>
          <w:rFonts w:hint="default"/>
          <w:sz w:val="28"/>
          <w:szCs w:val="28"/>
        </w:rPr>
        <w:instrText xml:space="preserve"> </w:instrText>
      </w:r>
      <w:r>
        <w:rPr>
          <w:rFonts w:hint="default"/>
          <w:sz w:val="28"/>
          <w:szCs w:val="28"/>
        </w:rPr>
        <w:fldChar w:fldCharType="separate"/>
      </w:r>
      <w:r>
        <w:rPr>
          <w:rStyle w:val="11"/>
          <w:rFonts w:hint="default"/>
          <w:sz w:val="28"/>
          <w:szCs w:val="28"/>
        </w:rPr>
        <w:t>四、估价对象：</w:t>
      </w:r>
      <w:r>
        <w:rPr>
          <w:sz w:val="28"/>
          <w:szCs w:val="28"/>
        </w:rPr>
        <w:tab/>
      </w:r>
      <w:r>
        <w:rPr>
          <w:sz w:val="28"/>
          <w:szCs w:val="28"/>
        </w:rPr>
        <w:fldChar w:fldCharType="begin"/>
      </w:r>
      <w:r>
        <w:rPr>
          <w:sz w:val="28"/>
          <w:szCs w:val="28"/>
        </w:rPr>
        <w:instrText xml:space="preserve"> PAGEREF _Toc61938697 \h </w:instrText>
      </w:r>
      <w:r>
        <w:rPr>
          <w:sz w:val="28"/>
          <w:szCs w:val="28"/>
        </w:rPr>
        <w:fldChar w:fldCharType="separate"/>
      </w:r>
      <w:r>
        <w:rPr>
          <w:sz w:val="28"/>
          <w:szCs w:val="28"/>
        </w:rPr>
        <w:t>5</w:t>
      </w:r>
      <w:r>
        <w:rPr>
          <w:sz w:val="28"/>
          <w:szCs w:val="28"/>
        </w:rPr>
        <w:fldChar w:fldCharType="end"/>
      </w:r>
      <w:r>
        <w:rPr>
          <w:rFonts w:hint="default"/>
          <w:sz w:val="28"/>
          <w:szCs w:val="28"/>
        </w:rPr>
        <w:fldChar w:fldCharType="end"/>
      </w:r>
    </w:p>
    <w:p>
      <w:pPr>
        <w:pStyle w:val="6"/>
        <w:spacing w:line="360" w:lineRule="exact"/>
        <w:rPr>
          <w:color w:val="auto"/>
          <w:sz w:val="28"/>
          <w:szCs w:val="28"/>
        </w:rPr>
      </w:pPr>
      <w:r>
        <w:rPr>
          <w:rFonts w:hint="default"/>
          <w:sz w:val="28"/>
          <w:szCs w:val="28"/>
        </w:rPr>
        <w:fldChar w:fldCharType="begin"/>
      </w:r>
      <w:r>
        <w:rPr>
          <w:rStyle w:val="11"/>
          <w:rFonts w:hint="default"/>
          <w:sz w:val="28"/>
          <w:szCs w:val="28"/>
        </w:rPr>
        <w:instrText xml:space="preserve"> </w:instrText>
      </w:r>
      <w:r>
        <w:rPr>
          <w:sz w:val="28"/>
          <w:szCs w:val="28"/>
        </w:rPr>
        <w:instrText xml:space="preserve">HYPERLINK \l "_Toc61938698"</w:instrText>
      </w:r>
      <w:r>
        <w:rPr>
          <w:rStyle w:val="11"/>
          <w:rFonts w:hint="default"/>
          <w:sz w:val="28"/>
          <w:szCs w:val="28"/>
        </w:rPr>
        <w:instrText xml:space="preserve"> </w:instrText>
      </w:r>
      <w:r>
        <w:rPr>
          <w:rFonts w:hint="default"/>
          <w:sz w:val="28"/>
          <w:szCs w:val="28"/>
        </w:rPr>
        <w:fldChar w:fldCharType="separate"/>
      </w:r>
      <w:r>
        <w:rPr>
          <w:rStyle w:val="11"/>
          <w:rFonts w:hint="default"/>
          <w:sz w:val="28"/>
          <w:szCs w:val="28"/>
        </w:rPr>
        <w:t>五、价值时点：</w:t>
      </w:r>
      <w:r>
        <w:rPr>
          <w:sz w:val="28"/>
          <w:szCs w:val="28"/>
        </w:rPr>
        <w:tab/>
      </w:r>
      <w:r>
        <w:rPr>
          <w:sz w:val="28"/>
          <w:szCs w:val="28"/>
        </w:rPr>
        <w:fldChar w:fldCharType="begin"/>
      </w:r>
      <w:r>
        <w:rPr>
          <w:sz w:val="28"/>
          <w:szCs w:val="28"/>
        </w:rPr>
        <w:instrText xml:space="preserve"> PAGEREF _Toc61938698 \h </w:instrText>
      </w:r>
      <w:r>
        <w:rPr>
          <w:sz w:val="28"/>
          <w:szCs w:val="28"/>
        </w:rPr>
        <w:fldChar w:fldCharType="separate"/>
      </w:r>
      <w:r>
        <w:rPr>
          <w:sz w:val="28"/>
          <w:szCs w:val="28"/>
        </w:rPr>
        <w:t>9</w:t>
      </w:r>
      <w:r>
        <w:rPr>
          <w:sz w:val="28"/>
          <w:szCs w:val="28"/>
        </w:rPr>
        <w:fldChar w:fldCharType="end"/>
      </w:r>
      <w:r>
        <w:rPr>
          <w:rFonts w:hint="default"/>
          <w:sz w:val="28"/>
          <w:szCs w:val="28"/>
        </w:rPr>
        <w:fldChar w:fldCharType="end"/>
      </w:r>
    </w:p>
    <w:p>
      <w:pPr>
        <w:pStyle w:val="6"/>
        <w:spacing w:line="360" w:lineRule="exact"/>
        <w:rPr>
          <w:color w:val="auto"/>
          <w:sz w:val="28"/>
          <w:szCs w:val="28"/>
        </w:rPr>
      </w:pPr>
      <w:r>
        <w:rPr>
          <w:rFonts w:hint="default"/>
          <w:sz w:val="28"/>
          <w:szCs w:val="28"/>
        </w:rPr>
        <w:fldChar w:fldCharType="begin"/>
      </w:r>
      <w:r>
        <w:rPr>
          <w:rStyle w:val="11"/>
          <w:rFonts w:hint="default"/>
          <w:sz w:val="28"/>
          <w:szCs w:val="28"/>
        </w:rPr>
        <w:instrText xml:space="preserve"> </w:instrText>
      </w:r>
      <w:r>
        <w:rPr>
          <w:sz w:val="28"/>
          <w:szCs w:val="28"/>
        </w:rPr>
        <w:instrText xml:space="preserve">HYPERLINK \l "_Toc61938699"</w:instrText>
      </w:r>
      <w:r>
        <w:rPr>
          <w:rStyle w:val="11"/>
          <w:rFonts w:hint="default"/>
          <w:sz w:val="28"/>
          <w:szCs w:val="28"/>
        </w:rPr>
        <w:instrText xml:space="preserve"> </w:instrText>
      </w:r>
      <w:r>
        <w:rPr>
          <w:rFonts w:hint="default"/>
          <w:sz w:val="28"/>
          <w:szCs w:val="28"/>
        </w:rPr>
        <w:fldChar w:fldCharType="separate"/>
      </w:r>
      <w:r>
        <w:rPr>
          <w:rStyle w:val="11"/>
          <w:rFonts w:hint="default"/>
          <w:sz w:val="28"/>
          <w:szCs w:val="28"/>
        </w:rPr>
        <w:t>六、价值类型：</w:t>
      </w:r>
      <w:r>
        <w:rPr>
          <w:sz w:val="28"/>
          <w:szCs w:val="28"/>
        </w:rPr>
        <w:tab/>
      </w:r>
      <w:r>
        <w:rPr>
          <w:sz w:val="28"/>
          <w:szCs w:val="28"/>
        </w:rPr>
        <w:fldChar w:fldCharType="begin"/>
      </w:r>
      <w:r>
        <w:rPr>
          <w:sz w:val="28"/>
          <w:szCs w:val="28"/>
        </w:rPr>
        <w:instrText xml:space="preserve"> PAGEREF _Toc61938699 \h </w:instrText>
      </w:r>
      <w:r>
        <w:rPr>
          <w:sz w:val="28"/>
          <w:szCs w:val="28"/>
        </w:rPr>
        <w:fldChar w:fldCharType="separate"/>
      </w:r>
      <w:r>
        <w:rPr>
          <w:sz w:val="28"/>
          <w:szCs w:val="28"/>
        </w:rPr>
        <w:t>9</w:t>
      </w:r>
      <w:r>
        <w:rPr>
          <w:sz w:val="28"/>
          <w:szCs w:val="28"/>
        </w:rPr>
        <w:fldChar w:fldCharType="end"/>
      </w:r>
      <w:r>
        <w:rPr>
          <w:rFonts w:hint="default"/>
          <w:sz w:val="28"/>
          <w:szCs w:val="28"/>
        </w:rPr>
        <w:fldChar w:fldCharType="end"/>
      </w:r>
    </w:p>
    <w:p>
      <w:pPr>
        <w:pStyle w:val="6"/>
        <w:spacing w:line="360" w:lineRule="exact"/>
        <w:rPr>
          <w:color w:val="auto"/>
          <w:sz w:val="28"/>
          <w:szCs w:val="28"/>
        </w:rPr>
      </w:pPr>
      <w:r>
        <w:rPr>
          <w:rFonts w:hint="default"/>
          <w:sz w:val="28"/>
          <w:szCs w:val="28"/>
        </w:rPr>
        <w:fldChar w:fldCharType="begin"/>
      </w:r>
      <w:r>
        <w:rPr>
          <w:rStyle w:val="11"/>
          <w:rFonts w:hint="default"/>
          <w:sz w:val="28"/>
          <w:szCs w:val="28"/>
        </w:rPr>
        <w:instrText xml:space="preserve"> </w:instrText>
      </w:r>
      <w:r>
        <w:rPr>
          <w:sz w:val="28"/>
          <w:szCs w:val="28"/>
        </w:rPr>
        <w:instrText xml:space="preserve">HYPERLINK \l "_Toc61938700"</w:instrText>
      </w:r>
      <w:r>
        <w:rPr>
          <w:rStyle w:val="11"/>
          <w:rFonts w:hint="default"/>
          <w:sz w:val="28"/>
          <w:szCs w:val="28"/>
        </w:rPr>
        <w:instrText xml:space="preserve"> </w:instrText>
      </w:r>
      <w:r>
        <w:rPr>
          <w:rFonts w:hint="default"/>
          <w:sz w:val="28"/>
          <w:szCs w:val="28"/>
        </w:rPr>
        <w:fldChar w:fldCharType="separate"/>
      </w:r>
      <w:r>
        <w:rPr>
          <w:rStyle w:val="11"/>
          <w:rFonts w:hint="default"/>
          <w:sz w:val="28"/>
          <w:szCs w:val="28"/>
        </w:rPr>
        <w:t>七、估价依据：</w:t>
      </w:r>
      <w:r>
        <w:rPr>
          <w:sz w:val="28"/>
          <w:szCs w:val="28"/>
        </w:rPr>
        <w:tab/>
      </w:r>
      <w:r>
        <w:rPr>
          <w:sz w:val="28"/>
          <w:szCs w:val="28"/>
        </w:rPr>
        <w:fldChar w:fldCharType="begin"/>
      </w:r>
      <w:r>
        <w:rPr>
          <w:sz w:val="28"/>
          <w:szCs w:val="28"/>
        </w:rPr>
        <w:instrText xml:space="preserve"> PAGEREF _Toc61938700 \h </w:instrText>
      </w:r>
      <w:r>
        <w:rPr>
          <w:sz w:val="28"/>
          <w:szCs w:val="28"/>
        </w:rPr>
        <w:fldChar w:fldCharType="separate"/>
      </w:r>
      <w:r>
        <w:rPr>
          <w:sz w:val="28"/>
          <w:szCs w:val="28"/>
        </w:rPr>
        <w:t>9</w:t>
      </w:r>
      <w:r>
        <w:rPr>
          <w:sz w:val="28"/>
          <w:szCs w:val="28"/>
        </w:rPr>
        <w:fldChar w:fldCharType="end"/>
      </w:r>
      <w:r>
        <w:rPr>
          <w:rFonts w:hint="default"/>
          <w:sz w:val="28"/>
          <w:szCs w:val="28"/>
        </w:rPr>
        <w:fldChar w:fldCharType="end"/>
      </w:r>
    </w:p>
    <w:p>
      <w:pPr>
        <w:pStyle w:val="6"/>
        <w:spacing w:line="360" w:lineRule="exact"/>
        <w:rPr>
          <w:color w:val="auto"/>
          <w:sz w:val="28"/>
          <w:szCs w:val="28"/>
        </w:rPr>
      </w:pPr>
      <w:r>
        <w:rPr>
          <w:rFonts w:hint="default"/>
          <w:sz w:val="28"/>
          <w:szCs w:val="28"/>
        </w:rPr>
        <w:fldChar w:fldCharType="begin"/>
      </w:r>
      <w:r>
        <w:rPr>
          <w:rStyle w:val="11"/>
          <w:rFonts w:hint="default"/>
          <w:sz w:val="28"/>
          <w:szCs w:val="28"/>
        </w:rPr>
        <w:instrText xml:space="preserve"> </w:instrText>
      </w:r>
      <w:r>
        <w:rPr>
          <w:sz w:val="28"/>
          <w:szCs w:val="28"/>
        </w:rPr>
        <w:instrText xml:space="preserve">HYPERLINK \l "_Toc61938701"</w:instrText>
      </w:r>
      <w:r>
        <w:rPr>
          <w:rStyle w:val="11"/>
          <w:rFonts w:hint="default"/>
          <w:sz w:val="28"/>
          <w:szCs w:val="28"/>
        </w:rPr>
        <w:instrText xml:space="preserve"> </w:instrText>
      </w:r>
      <w:r>
        <w:rPr>
          <w:rFonts w:hint="default"/>
          <w:sz w:val="28"/>
          <w:szCs w:val="28"/>
        </w:rPr>
        <w:fldChar w:fldCharType="separate"/>
      </w:r>
      <w:r>
        <w:rPr>
          <w:rStyle w:val="11"/>
          <w:rFonts w:hint="default"/>
          <w:sz w:val="28"/>
          <w:szCs w:val="28"/>
        </w:rPr>
        <w:t>八、估价原则：</w:t>
      </w:r>
      <w:r>
        <w:rPr>
          <w:sz w:val="28"/>
          <w:szCs w:val="28"/>
        </w:rPr>
        <w:tab/>
      </w:r>
      <w:r>
        <w:rPr>
          <w:sz w:val="28"/>
          <w:szCs w:val="28"/>
        </w:rPr>
        <w:fldChar w:fldCharType="begin"/>
      </w:r>
      <w:r>
        <w:rPr>
          <w:sz w:val="28"/>
          <w:szCs w:val="28"/>
        </w:rPr>
        <w:instrText xml:space="preserve"> PAGEREF _Toc61938701 \h </w:instrText>
      </w:r>
      <w:r>
        <w:rPr>
          <w:sz w:val="28"/>
          <w:szCs w:val="28"/>
        </w:rPr>
        <w:fldChar w:fldCharType="separate"/>
      </w:r>
      <w:r>
        <w:rPr>
          <w:sz w:val="28"/>
          <w:szCs w:val="28"/>
        </w:rPr>
        <w:t>11</w:t>
      </w:r>
      <w:r>
        <w:rPr>
          <w:sz w:val="28"/>
          <w:szCs w:val="28"/>
        </w:rPr>
        <w:fldChar w:fldCharType="end"/>
      </w:r>
      <w:r>
        <w:rPr>
          <w:rFonts w:hint="default"/>
          <w:sz w:val="28"/>
          <w:szCs w:val="28"/>
        </w:rPr>
        <w:fldChar w:fldCharType="end"/>
      </w:r>
    </w:p>
    <w:p>
      <w:pPr>
        <w:pStyle w:val="6"/>
        <w:spacing w:line="360" w:lineRule="exact"/>
        <w:rPr>
          <w:color w:val="auto"/>
          <w:sz w:val="28"/>
          <w:szCs w:val="28"/>
        </w:rPr>
      </w:pPr>
      <w:r>
        <w:rPr>
          <w:rFonts w:hint="default"/>
          <w:sz w:val="28"/>
          <w:szCs w:val="28"/>
        </w:rPr>
        <w:fldChar w:fldCharType="begin"/>
      </w:r>
      <w:r>
        <w:rPr>
          <w:rStyle w:val="11"/>
          <w:rFonts w:hint="default"/>
          <w:sz w:val="28"/>
          <w:szCs w:val="28"/>
        </w:rPr>
        <w:instrText xml:space="preserve"> </w:instrText>
      </w:r>
      <w:r>
        <w:rPr>
          <w:sz w:val="28"/>
          <w:szCs w:val="28"/>
        </w:rPr>
        <w:instrText xml:space="preserve">HYPERLINK \l "_Toc61938702"</w:instrText>
      </w:r>
      <w:r>
        <w:rPr>
          <w:rStyle w:val="11"/>
          <w:rFonts w:hint="default"/>
          <w:sz w:val="28"/>
          <w:szCs w:val="28"/>
        </w:rPr>
        <w:instrText xml:space="preserve"> </w:instrText>
      </w:r>
      <w:r>
        <w:rPr>
          <w:rFonts w:hint="default"/>
          <w:sz w:val="28"/>
          <w:szCs w:val="28"/>
        </w:rPr>
        <w:fldChar w:fldCharType="separate"/>
      </w:r>
      <w:r>
        <w:rPr>
          <w:rStyle w:val="11"/>
          <w:rFonts w:hint="default"/>
          <w:sz w:val="28"/>
          <w:szCs w:val="28"/>
        </w:rPr>
        <w:t>九、估价方法</w:t>
      </w:r>
      <w:r>
        <w:rPr>
          <w:sz w:val="28"/>
          <w:szCs w:val="28"/>
        </w:rPr>
        <w:tab/>
      </w:r>
      <w:r>
        <w:rPr>
          <w:sz w:val="28"/>
          <w:szCs w:val="28"/>
        </w:rPr>
        <w:fldChar w:fldCharType="begin"/>
      </w:r>
      <w:r>
        <w:rPr>
          <w:sz w:val="28"/>
          <w:szCs w:val="28"/>
        </w:rPr>
        <w:instrText xml:space="preserve"> PAGEREF _Toc61938702 \h </w:instrText>
      </w:r>
      <w:r>
        <w:rPr>
          <w:sz w:val="28"/>
          <w:szCs w:val="28"/>
        </w:rPr>
        <w:fldChar w:fldCharType="separate"/>
      </w:r>
      <w:r>
        <w:rPr>
          <w:sz w:val="28"/>
          <w:szCs w:val="28"/>
        </w:rPr>
        <w:t>13</w:t>
      </w:r>
      <w:r>
        <w:rPr>
          <w:sz w:val="28"/>
          <w:szCs w:val="28"/>
        </w:rPr>
        <w:fldChar w:fldCharType="end"/>
      </w:r>
      <w:r>
        <w:rPr>
          <w:rFonts w:hint="default"/>
          <w:sz w:val="28"/>
          <w:szCs w:val="28"/>
        </w:rPr>
        <w:fldChar w:fldCharType="end"/>
      </w:r>
    </w:p>
    <w:p>
      <w:pPr>
        <w:pStyle w:val="6"/>
        <w:spacing w:line="360" w:lineRule="exact"/>
        <w:rPr>
          <w:color w:val="auto"/>
          <w:sz w:val="28"/>
          <w:szCs w:val="28"/>
        </w:rPr>
      </w:pPr>
      <w:r>
        <w:rPr>
          <w:rFonts w:hint="default"/>
          <w:sz w:val="28"/>
          <w:szCs w:val="28"/>
        </w:rPr>
        <w:fldChar w:fldCharType="begin"/>
      </w:r>
      <w:r>
        <w:rPr>
          <w:rStyle w:val="11"/>
          <w:rFonts w:hint="default"/>
          <w:sz w:val="28"/>
          <w:szCs w:val="28"/>
        </w:rPr>
        <w:instrText xml:space="preserve"> </w:instrText>
      </w:r>
      <w:r>
        <w:rPr>
          <w:sz w:val="28"/>
          <w:szCs w:val="28"/>
        </w:rPr>
        <w:instrText xml:space="preserve">HYPERLINK \l "_Toc61938703"</w:instrText>
      </w:r>
      <w:r>
        <w:rPr>
          <w:rStyle w:val="11"/>
          <w:rFonts w:hint="default"/>
          <w:sz w:val="28"/>
          <w:szCs w:val="28"/>
        </w:rPr>
        <w:instrText xml:space="preserve"> </w:instrText>
      </w:r>
      <w:r>
        <w:rPr>
          <w:rFonts w:hint="default"/>
          <w:sz w:val="28"/>
          <w:szCs w:val="28"/>
        </w:rPr>
        <w:fldChar w:fldCharType="separate"/>
      </w:r>
      <w:r>
        <w:rPr>
          <w:rStyle w:val="11"/>
          <w:rFonts w:hint="default"/>
          <w:sz w:val="28"/>
          <w:szCs w:val="28"/>
        </w:rPr>
        <w:t>十、估价结果：</w:t>
      </w:r>
      <w:r>
        <w:rPr>
          <w:sz w:val="28"/>
          <w:szCs w:val="28"/>
        </w:rPr>
        <w:tab/>
      </w:r>
      <w:r>
        <w:rPr>
          <w:sz w:val="28"/>
          <w:szCs w:val="28"/>
        </w:rPr>
        <w:fldChar w:fldCharType="begin"/>
      </w:r>
      <w:r>
        <w:rPr>
          <w:sz w:val="28"/>
          <w:szCs w:val="28"/>
        </w:rPr>
        <w:instrText xml:space="preserve"> PAGEREF _Toc61938703 \h </w:instrText>
      </w:r>
      <w:r>
        <w:rPr>
          <w:sz w:val="28"/>
          <w:szCs w:val="28"/>
        </w:rPr>
        <w:fldChar w:fldCharType="separate"/>
      </w:r>
      <w:r>
        <w:rPr>
          <w:sz w:val="28"/>
          <w:szCs w:val="28"/>
        </w:rPr>
        <w:t>14</w:t>
      </w:r>
      <w:r>
        <w:rPr>
          <w:sz w:val="28"/>
          <w:szCs w:val="28"/>
        </w:rPr>
        <w:fldChar w:fldCharType="end"/>
      </w:r>
      <w:r>
        <w:rPr>
          <w:rFonts w:hint="default"/>
          <w:sz w:val="28"/>
          <w:szCs w:val="28"/>
        </w:rPr>
        <w:fldChar w:fldCharType="end"/>
      </w:r>
    </w:p>
    <w:p>
      <w:pPr>
        <w:pStyle w:val="6"/>
        <w:spacing w:line="360" w:lineRule="exact"/>
        <w:rPr>
          <w:color w:val="auto"/>
          <w:sz w:val="28"/>
          <w:szCs w:val="28"/>
        </w:rPr>
      </w:pPr>
      <w:r>
        <w:rPr>
          <w:rFonts w:hint="default"/>
          <w:sz w:val="28"/>
          <w:szCs w:val="28"/>
        </w:rPr>
        <w:fldChar w:fldCharType="begin"/>
      </w:r>
      <w:r>
        <w:rPr>
          <w:rStyle w:val="11"/>
          <w:rFonts w:hint="default"/>
          <w:sz w:val="28"/>
          <w:szCs w:val="28"/>
        </w:rPr>
        <w:instrText xml:space="preserve"> </w:instrText>
      </w:r>
      <w:r>
        <w:rPr>
          <w:sz w:val="28"/>
          <w:szCs w:val="28"/>
        </w:rPr>
        <w:instrText xml:space="preserve">HYPERLINK \l "_Toc61938704"</w:instrText>
      </w:r>
      <w:r>
        <w:rPr>
          <w:rStyle w:val="11"/>
          <w:rFonts w:hint="default"/>
          <w:sz w:val="28"/>
          <w:szCs w:val="28"/>
        </w:rPr>
        <w:instrText xml:space="preserve"> </w:instrText>
      </w:r>
      <w:r>
        <w:rPr>
          <w:rFonts w:hint="default"/>
          <w:sz w:val="28"/>
          <w:szCs w:val="28"/>
        </w:rPr>
        <w:fldChar w:fldCharType="separate"/>
      </w:r>
      <w:r>
        <w:rPr>
          <w:rStyle w:val="11"/>
          <w:rFonts w:hint="default"/>
          <w:sz w:val="28"/>
          <w:szCs w:val="28"/>
        </w:rPr>
        <w:t>十一、注册房地产估价师：</w:t>
      </w:r>
      <w:r>
        <w:rPr>
          <w:sz w:val="28"/>
          <w:szCs w:val="28"/>
        </w:rPr>
        <w:tab/>
      </w:r>
      <w:r>
        <w:rPr>
          <w:sz w:val="28"/>
          <w:szCs w:val="28"/>
        </w:rPr>
        <w:fldChar w:fldCharType="begin"/>
      </w:r>
      <w:r>
        <w:rPr>
          <w:sz w:val="28"/>
          <w:szCs w:val="28"/>
        </w:rPr>
        <w:instrText xml:space="preserve"> PAGEREF _Toc61938704 \h </w:instrText>
      </w:r>
      <w:r>
        <w:rPr>
          <w:sz w:val="28"/>
          <w:szCs w:val="28"/>
        </w:rPr>
        <w:fldChar w:fldCharType="separate"/>
      </w:r>
      <w:r>
        <w:rPr>
          <w:sz w:val="28"/>
          <w:szCs w:val="28"/>
        </w:rPr>
        <w:t>14</w:t>
      </w:r>
      <w:r>
        <w:rPr>
          <w:sz w:val="28"/>
          <w:szCs w:val="28"/>
        </w:rPr>
        <w:fldChar w:fldCharType="end"/>
      </w:r>
      <w:r>
        <w:rPr>
          <w:rFonts w:hint="default"/>
          <w:sz w:val="28"/>
          <w:szCs w:val="28"/>
        </w:rPr>
        <w:fldChar w:fldCharType="end"/>
      </w:r>
    </w:p>
    <w:p>
      <w:pPr>
        <w:pStyle w:val="6"/>
        <w:spacing w:line="360" w:lineRule="exact"/>
        <w:rPr>
          <w:color w:val="auto"/>
          <w:sz w:val="28"/>
          <w:szCs w:val="28"/>
        </w:rPr>
      </w:pPr>
      <w:r>
        <w:rPr>
          <w:rFonts w:hint="default"/>
          <w:sz w:val="28"/>
          <w:szCs w:val="28"/>
        </w:rPr>
        <w:fldChar w:fldCharType="begin"/>
      </w:r>
      <w:r>
        <w:rPr>
          <w:rStyle w:val="11"/>
          <w:rFonts w:hint="default"/>
          <w:sz w:val="28"/>
          <w:szCs w:val="28"/>
        </w:rPr>
        <w:instrText xml:space="preserve"> </w:instrText>
      </w:r>
      <w:r>
        <w:rPr>
          <w:sz w:val="28"/>
          <w:szCs w:val="28"/>
        </w:rPr>
        <w:instrText xml:space="preserve">HYPERLINK \l "_Toc61938705"</w:instrText>
      </w:r>
      <w:r>
        <w:rPr>
          <w:rStyle w:val="11"/>
          <w:rFonts w:hint="default"/>
          <w:sz w:val="28"/>
          <w:szCs w:val="28"/>
        </w:rPr>
        <w:instrText xml:space="preserve"> </w:instrText>
      </w:r>
      <w:r>
        <w:rPr>
          <w:rFonts w:hint="default"/>
          <w:sz w:val="28"/>
          <w:szCs w:val="28"/>
        </w:rPr>
        <w:fldChar w:fldCharType="separate"/>
      </w:r>
      <w:r>
        <w:rPr>
          <w:rStyle w:val="11"/>
          <w:rFonts w:hint="default"/>
          <w:sz w:val="28"/>
          <w:szCs w:val="28"/>
        </w:rPr>
        <w:t>十二、实地查勘期：</w:t>
      </w:r>
      <w:r>
        <w:rPr>
          <w:sz w:val="28"/>
          <w:szCs w:val="28"/>
        </w:rPr>
        <w:tab/>
      </w:r>
      <w:r>
        <w:rPr>
          <w:sz w:val="28"/>
          <w:szCs w:val="28"/>
        </w:rPr>
        <w:fldChar w:fldCharType="begin"/>
      </w:r>
      <w:r>
        <w:rPr>
          <w:sz w:val="28"/>
          <w:szCs w:val="28"/>
        </w:rPr>
        <w:instrText xml:space="preserve"> PAGEREF _Toc61938705 \h </w:instrText>
      </w:r>
      <w:r>
        <w:rPr>
          <w:sz w:val="28"/>
          <w:szCs w:val="28"/>
        </w:rPr>
        <w:fldChar w:fldCharType="separate"/>
      </w:r>
      <w:r>
        <w:rPr>
          <w:sz w:val="28"/>
          <w:szCs w:val="28"/>
        </w:rPr>
        <w:t>15</w:t>
      </w:r>
      <w:r>
        <w:rPr>
          <w:sz w:val="28"/>
          <w:szCs w:val="28"/>
        </w:rPr>
        <w:fldChar w:fldCharType="end"/>
      </w:r>
      <w:r>
        <w:rPr>
          <w:rFonts w:hint="default"/>
          <w:sz w:val="28"/>
          <w:szCs w:val="28"/>
        </w:rPr>
        <w:fldChar w:fldCharType="end"/>
      </w:r>
    </w:p>
    <w:p>
      <w:pPr>
        <w:pStyle w:val="6"/>
        <w:spacing w:line="360" w:lineRule="exact"/>
        <w:rPr>
          <w:color w:val="auto"/>
          <w:sz w:val="28"/>
          <w:szCs w:val="28"/>
        </w:rPr>
      </w:pPr>
      <w:r>
        <w:rPr>
          <w:rFonts w:hint="default"/>
          <w:sz w:val="28"/>
          <w:szCs w:val="28"/>
        </w:rPr>
        <w:fldChar w:fldCharType="begin"/>
      </w:r>
      <w:r>
        <w:rPr>
          <w:rStyle w:val="11"/>
          <w:rFonts w:hint="default"/>
          <w:sz w:val="28"/>
          <w:szCs w:val="28"/>
        </w:rPr>
        <w:instrText xml:space="preserve"> </w:instrText>
      </w:r>
      <w:r>
        <w:rPr>
          <w:sz w:val="28"/>
          <w:szCs w:val="28"/>
        </w:rPr>
        <w:instrText xml:space="preserve">HYPERLINK \l "_Toc61938706"</w:instrText>
      </w:r>
      <w:r>
        <w:rPr>
          <w:rStyle w:val="11"/>
          <w:rFonts w:hint="default"/>
          <w:sz w:val="28"/>
          <w:szCs w:val="28"/>
        </w:rPr>
        <w:instrText xml:space="preserve"> </w:instrText>
      </w:r>
      <w:r>
        <w:rPr>
          <w:rFonts w:hint="default"/>
          <w:sz w:val="28"/>
          <w:szCs w:val="28"/>
        </w:rPr>
        <w:fldChar w:fldCharType="separate"/>
      </w:r>
      <w:r>
        <w:rPr>
          <w:rStyle w:val="11"/>
          <w:rFonts w:hint="default"/>
          <w:sz w:val="28"/>
          <w:szCs w:val="28"/>
        </w:rPr>
        <w:t>十三、估价作业期：</w:t>
      </w:r>
      <w:r>
        <w:rPr>
          <w:sz w:val="28"/>
          <w:szCs w:val="28"/>
        </w:rPr>
        <w:tab/>
      </w:r>
      <w:r>
        <w:rPr>
          <w:sz w:val="28"/>
          <w:szCs w:val="28"/>
        </w:rPr>
        <w:fldChar w:fldCharType="begin"/>
      </w:r>
      <w:r>
        <w:rPr>
          <w:sz w:val="28"/>
          <w:szCs w:val="28"/>
        </w:rPr>
        <w:instrText xml:space="preserve"> PAGEREF _Toc61938706 \h </w:instrText>
      </w:r>
      <w:r>
        <w:rPr>
          <w:sz w:val="28"/>
          <w:szCs w:val="28"/>
        </w:rPr>
        <w:fldChar w:fldCharType="separate"/>
      </w:r>
      <w:r>
        <w:rPr>
          <w:sz w:val="28"/>
          <w:szCs w:val="28"/>
        </w:rPr>
        <w:t>15</w:t>
      </w:r>
      <w:r>
        <w:rPr>
          <w:sz w:val="28"/>
          <w:szCs w:val="28"/>
        </w:rPr>
        <w:fldChar w:fldCharType="end"/>
      </w:r>
      <w:r>
        <w:rPr>
          <w:rFonts w:hint="default"/>
          <w:sz w:val="28"/>
          <w:szCs w:val="28"/>
        </w:rPr>
        <w:fldChar w:fldCharType="end"/>
      </w:r>
    </w:p>
    <w:p>
      <w:pPr>
        <w:pStyle w:val="6"/>
        <w:spacing w:line="360" w:lineRule="exact"/>
        <w:rPr>
          <w:color w:val="auto"/>
          <w:sz w:val="28"/>
          <w:szCs w:val="28"/>
        </w:rPr>
      </w:pPr>
      <w:r>
        <w:rPr>
          <w:rFonts w:hint="default"/>
          <w:sz w:val="28"/>
          <w:szCs w:val="28"/>
        </w:rPr>
        <w:fldChar w:fldCharType="begin"/>
      </w:r>
      <w:r>
        <w:rPr>
          <w:rStyle w:val="11"/>
          <w:rFonts w:hint="default"/>
          <w:sz w:val="28"/>
          <w:szCs w:val="28"/>
        </w:rPr>
        <w:instrText xml:space="preserve"> </w:instrText>
      </w:r>
      <w:r>
        <w:rPr>
          <w:sz w:val="28"/>
          <w:szCs w:val="28"/>
        </w:rPr>
        <w:instrText xml:space="preserve">HYPERLINK \l "_Toc61938707"</w:instrText>
      </w:r>
      <w:r>
        <w:rPr>
          <w:rStyle w:val="11"/>
          <w:rFonts w:hint="default"/>
          <w:sz w:val="28"/>
          <w:szCs w:val="28"/>
        </w:rPr>
        <w:instrText xml:space="preserve"> </w:instrText>
      </w:r>
      <w:r>
        <w:rPr>
          <w:rFonts w:hint="default"/>
          <w:sz w:val="28"/>
          <w:szCs w:val="28"/>
        </w:rPr>
        <w:fldChar w:fldCharType="separate"/>
      </w:r>
      <w:r>
        <w:rPr>
          <w:rStyle w:val="11"/>
          <w:rFonts w:hint="default"/>
          <w:sz w:val="28"/>
          <w:szCs w:val="28"/>
        </w:rPr>
        <w:t>十四、估价报告使用的有效期限：</w:t>
      </w:r>
      <w:r>
        <w:rPr>
          <w:sz w:val="28"/>
          <w:szCs w:val="28"/>
        </w:rPr>
        <w:tab/>
      </w:r>
      <w:r>
        <w:rPr>
          <w:sz w:val="28"/>
          <w:szCs w:val="28"/>
        </w:rPr>
        <w:fldChar w:fldCharType="begin"/>
      </w:r>
      <w:r>
        <w:rPr>
          <w:sz w:val="28"/>
          <w:szCs w:val="28"/>
        </w:rPr>
        <w:instrText xml:space="preserve"> PAGEREF _Toc61938707 \h </w:instrText>
      </w:r>
      <w:r>
        <w:rPr>
          <w:sz w:val="28"/>
          <w:szCs w:val="28"/>
        </w:rPr>
        <w:fldChar w:fldCharType="separate"/>
      </w:r>
      <w:r>
        <w:rPr>
          <w:sz w:val="28"/>
          <w:szCs w:val="28"/>
        </w:rPr>
        <w:t>15</w:t>
      </w:r>
      <w:r>
        <w:rPr>
          <w:sz w:val="28"/>
          <w:szCs w:val="28"/>
        </w:rPr>
        <w:fldChar w:fldCharType="end"/>
      </w:r>
      <w:r>
        <w:rPr>
          <w:rFonts w:hint="default"/>
          <w:sz w:val="28"/>
          <w:szCs w:val="28"/>
        </w:rPr>
        <w:fldChar w:fldCharType="end"/>
      </w:r>
    </w:p>
    <w:p>
      <w:pPr>
        <w:pStyle w:val="6"/>
        <w:spacing w:line="360" w:lineRule="exact"/>
        <w:rPr>
          <w:color w:val="auto"/>
          <w:sz w:val="28"/>
          <w:szCs w:val="28"/>
        </w:rPr>
      </w:pPr>
      <w:r>
        <w:rPr>
          <w:rFonts w:hint="default"/>
          <w:sz w:val="28"/>
          <w:szCs w:val="28"/>
        </w:rPr>
        <w:fldChar w:fldCharType="begin"/>
      </w:r>
      <w:r>
        <w:rPr>
          <w:rStyle w:val="11"/>
          <w:rFonts w:hint="default"/>
          <w:sz w:val="28"/>
          <w:szCs w:val="28"/>
        </w:rPr>
        <w:instrText xml:space="preserve"> </w:instrText>
      </w:r>
      <w:r>
        <w:rPr>
          <w:sz w:val="28"/>
          <w:szCs w:val="28"/>
        </w:rPr>
        <w:instrText xml:space="preserve">HYPERLINK \l "_Toc61938708"</w:instrText>
      </w:r>
      <w:r>
        <w:rPr>
          <w:rStyle w:val="11"/>
          <w:rFonts w:hint="default"/>
          <w:sz w:val="28"/>
          <w:szCs w:val="28"/>
        </w:rPr>
        <w:instrText xml:space="preserve"> </w:instrText>
      </w:r>
      <w:r>
        <w:rPr>
          <w:rFonts w:hint="default"/>
          <w:sz w:val="28"/>
          <w:szCs w:val="28"/>
        </w:rPr>
        <w:fldChar w:fldCharType="separate"/>
      </w:r>
      <w:r>
        <w:rPr>
          <w:rStyle w:val="11"/>
          <w:rFonts w:hint="default"/>
          <w:sz w:val="28"/>
          <w:szCs w:val="28"/>
        </w:rPr>
        <w:t>附件</w:t>
      </w:r>
      <w:r>
        <w:rPr>
          <w:sz w:val="28"/>
          <w:szCs w:val="28"/>
        </w:rPr>
        <w:tab/>
      </w:r>
      <w:r>
        <w:rPr>
          <w:sz w:val="28"/>
          <w:szCs w:val="28"/>
        </w:rPr>
        <w:fldChar w:fldCharType="begin"/>
      </w:r>
      <w:r>
        <w:rPr>
          <w:sz w:val="28"/>
          <w:szCs w:val="28"/>
        </w:rPr>
        <w:instrText xml:space="preserve"> PAGEREF _Toc61938708 \h </w:instrText>
      </w:r>
      <w:r>
        <w:rPr>
          <w:sz w:val="28"/>
          <w:szCs w:val="28"/>
        </w:rPr>
        <w:fldChar w:fldCharType="separate"/>
      </w:r>
      <w:r>
        <w:rPr>
          <w:sz w:val="28"/>
          <w:szCs w:val="28"/>
        </w:rPr>
        <w:t>16</w:t>
      </w:r>
      <w:r>
        <w:rPr>
          <w:sz w:val="28"/>
          <w:szCs w:val="28"/>
        </w:rPr>
        <w:fldChar w:fldCharType="end"/>
      </w:r>
      <w:r>
        <w:rPr>
          <w:rFonts w:hint="default"/>
          <w:sz w:val="28"/>
          <w:szCs w:val="28"/>
        </w:rPr>
        <w:fldChar w:fldCharType="end"/>
      </w:r>
    </w:p>
    <w:p>
      <w:pPr>
        <w:spacing w:line="420" w:lineRule="exact"/>
        <w:ind w:left="422" w:hanging="422" w:hangingChars="200"/>
        <w:rPr>
          <w:rFonts w:hint="eastAsia" w:ascii="宋体" w:hAnsi="宋体"/>
          <w:color w:val="000000"/>
          <w:sz w:val="28"/>
        </w:rPr>
      </w:pPr>
      <w:r>
        <w:rPr>
          <w:b/>
          <w:bCs/>
          <w:lang w:val="zh-CN"/>
        </w:rPr>
        <w:fldChar w:fldCharType="end"/>
      </w:r>
      <w:r>
        <w:rPr>
          <w:rFonts w:hint="eastAsia" w:ascii="宋体" w:hAnsi="宋体"/>
          <w:sz w:val="28"/>
        </w:rPr>
        <w:t>1、《</w:t>
      </w:r>
      <w:r>
        <w:rPr>
          <w:rFonts w:hint="eastAsia" w:ascii="宋体" w:hAnsi="宋体"/>
          <w:sz w:val="28"/>
          <w:lang w:eastAsia="zh-CN"/>
        </w:rPr>
        <w:t>平罗县人民法院</w:t>
      </w:r>
      <w:r>
        <w:rPr>
          <w:rFonts w:hint="eastAsia" w:ascii="宋体" w:hAnsi="宋体"/>
          <w:sz w:val="28"/>
        </w:rPr>
        <w:t>评估委托书》（复印件）</w:t>
      </w:r>
      <w:r>
        <w:rPr>
          <w:rFonts w:hint="eastAsia" w:ascii="宋体" w:hAnsi="宋体"/>
          <w:color w:val="000000"/>
          <w:sz w:val="28"/>
        </w:rPr>
        <w:t>；</w:t>
      </w:r>
    </w:p>
    <w:p>
      <w:pPr>
        <w:spacing w:line="420" w:lineRule="exact"/>
        <w:ind w:left="560" w:hanging="560" w:hangingChars="200"/>
        <w:rPr>
          <w:rFonts w:hint="eastAsia" w:ascii="宋体" w:hAnsi="宋体"/>
          <w:sz w:val="28"/>
        </w:rPr>
      </w:pPr>
      <w:r>
        <w:rPr>
          <w:rFonts w:hint="eastAsia" w:ascii="宋体" w:hAnsi="宋体"/>
          <w:sz w:val="28"/>
          <w:szCs w:val="28"/>
        </w:rPr>
        <w:t>2、</w:t>
      </w:r>
      <w:r>
        <w:rPr>
          <w:rFonts w:hint="eastAsia" w:ascii="宋体" w:hAnsi="宋体"/>
          <w:sz w:val="28"/>
        </w:rPr>
        <w:t>《</w:t>
      </w:r>
      <w:r>
        <w:rPr>
          <w:rFonts w:hint="eastAsia" w:ascii="宋体" w:hAnsi="宋体"/>
          <w:sz w:val="28"/>
          <w:lang w:eastAsia="zh-CN"/>
        </w:rPr>
        <w:t>房屋所有权证</w:t>
      </w:r>
      <w:r>
        <w:rPr>
          <w:rFonts w:hint="eastAsia" w:ascii="宋体" w:hAnsi="宋体"/>
          <w:sz w:val="28"/>
        </w:rPr>
        <w:t>》</w:t>
      </w:r>
      <w:r>
        <w:rPr>
          <w:rFonts w:hint="eastAsia" w:ascii="宋体" w:hAnsi="宋体"/>
          <w:sz w:val="28"/>
          <w:lang w:eastAsia="zh-CN"/>
        </w:rPr>
        <w:t>、</w:t>
      </w:r>
      <w:r>
        <w:rPr>
          <w:rFonts w:hint="eastAsia" w:ascii="宋体" w:hAnsi="宋体"/>
          <w:sz w:val="28"/>
        </w:rPr>
        <w:t>《</w:t>
      </w:r>
      <w:r>
        <w:rPr>
          <w:rFonts w:hint="eastAsia" w:ascii="宋体" w:hAnsi="宋体"/>
          <w:sz w:val="28"/>
          <w:lang w:eastAsia="zh-CN"/>
        </w:rPr>
        <w:t>平罗县</w:t>
      </w:r>
      <w:r>
        <w:rPr>
          <w:rFonts w:hint="eastAsia" w:ascii="宋体" w:hAnsi="宋体"/>
          <w:sz w:val="28"/>
        </w:rPr>
        <w:t>不动产登记信息查询单》</w:t>
      </w:r>
      <w:r>
        <w:rPr>
          <w:rFonts w:hint="eastAsia" w:ascii="宋体" w:hAnsi="宋体"/>
          <w:sz w:val="28"/>
          <w:lang w:eastAsia="zh-CN"/>
        </w:rPr>
        <w:t>、</w:t>
      </w:r>
      <w:r>
        <w:rPr>
          <w:rFonts w:hint="eastAsia" w:ascii="宋体" w:hAnsi="宋体"/>
          <w:sz w:val="28"/>
        </w:rPr>
        <w:t>《</w:t>
      </w:r>
      <w:r>
        <w:rPr>
          <w:rFonts w:hint="eastAsia" w:ascii="宋体" w:hAnsi="宋体"/>
          <w:sz w:val="28"/>
          <w:lang w:eastAsia="zh-CN"/>
        </w:rPr>
        <w:t>不动产登记证明</w:t>
      </w:r>
      <w:r>
        <w:rPr>
          <w:rFonts w:hint="eastAsia" w:ascii="宋体" w:hAnsi="宋体"/>
          <w:sz w:val="28"/>
        </w:rPr>
        <w:t>》（复印件）；</w:t>
      </w:r>
    </w:p>
    <w:p>
      <w:pPr>
        <w:spacing w:line="420" w:lineRule="exact"/>
        <w:ind w:left="560" w:hanging="560" w:hangingChars="200"/>
        <w:rPr>
          <w:rFonts w:hint="eastAsia" w:ascii="宋体" w:hAnsi="宋体"/>
          <w:color w:val="000000"/>
          <w:sz w:val="28"/>
        </w:rPr>
      </w:pPr>
      <w:r>
        <w:rPr>
          <w:rFonts w:hint="eastAsia" w:ascii="宋体" w:hAnsi="宋体"/>
          <w:sz w:val="28"/>
        </w:rPr>
        <w:t>3、</w:t>
      </w:r>
      <w:r>
        <w:rPr>
          <w:rFonts w:hint="eastAsia" w:ascii="宋体" w:hAnsi="宋体"/>
          <w:color w:val="000000"/>
          <w:sz w:val="28"/>
        </w:rPr>
        <w:t>估价对象状况照片、坐落方位图（复印件）</w:t>
      </w:r>
    </w:p>
    <w:p>
      <w:pPr>
        <w:spacing w:line="420" w:lineRule="exact"/>
        <w:ind w:left="560" w:hanging="560" w:hangingChars="200"/>
        <w:rPr>
          <w:rFonts w:hint="eastAsia" w:ascii="宋体" w:hAnsi="宋体"/>
          <w:color w:val="000000"/>
          <w:sz w:val="28"/>
        </w:rPr>
      </w:pPr>
      <w:r>
        <w:rPr>
          <w:rFonts w:hint="eastAsia" w:ascii="宋体" w:hAnsi="宋体"/>
          <w:color w:val="000000"/>
          <w:sz w:val="28"/>
        </w:rPr>
        <w:t>4、企业法人营业执照、房地产估价机构备案证书、注册房地产估价师执业证书（复印件））。</w:t>
      </w:r>
    </w:p>
    <w:p>
      <w:pPr>
        <w:spacing w:line="420" w:lineRule="exact"/>
        <w:rPr>
          <w:rFonts w:hint="eastAsia" w:ascii="宋体" w:hAnsi="宋体"/>
          <w:color w:val="000000"/>
          <w:sz w:val="28"/>
        </w:rPr>
      </w:pPr>
    </w:p>
    <w:p>
      <w:pPr>
        <w:pStyle w:val="8"/>
        <w:spacing w:before="0" w:after="0" w:line="420" w:lineRule="exact"/>
        <w:rPr>
          <w:rFonts w:hint="eastAsia" w:ascii="宋体" w:hAnsi="宋体"/>
          <w:sz w:val="44"/>
          <w:szCs w:val="44"/>
        </w:rPr>
      </w:pPr>
      <w:bookmarkStart w:id="0" w:name="_Toc404666649"/>
      <w:bookmarkStart w:id="1" w:name="_Toc404666874"/>
      <w:bookmarkStart w:id="2" w:name="_Toc27823886"/>
    </w:p>
    <w:p>
      <w:pPr>
        <w:pStyle w:val="8"/>
        <w:spacing w:before="0" w:after="0" w:line="420" w:lineRule="exact"/>
        <w:rPr>
          <w:rFonts w:hint="eastAsia" w:ascii="宋体" w:hAnsi="宋体"/>
          <w:sz w:val="44"/>
          <w:szCs w:val="44"/>
        </w:rPr>
      </w:pPr>
    </w:p>
    <w:p>
      <w:pPr>
        <w:pStyle w:val="8"/>
        <w:spacing w:before="0" w:after="0" w:line="420" w:lineRule="exact"/>
        <w:rPr>
          <w:rFonts w:hint="eastAsia" w:ascii="宋体" w:hAnsi="宋体"/>
          <w:sz w:val="44"/>
          <w:szCs w:val="44"/>
        </w:rPr>
      </w:pPr>
    </w:p>
    <w:p>
      <w:pPr>
        <w:pStyle w:val="8"/>
        <w:spacing w:before="0" w:after="0" w:line="420" w:lineRule="exact"/>
        <w:rPr>
          <w:rFonts w:hint="eastAsia" w:ascii="宋体" w:hAnsi="宋体"/>
          <w:sz w:val="44"/>
          <w:szCs w:val="44"/>
        </w:rPr>
      </w:pPr>
    </w:p>
    <w:p>
      <w:pPr>
        <w:rPr>
          <w:rFonts w:hint="eastAsia"/>
        </w:rPr>
      </w:pPr>
    </w:p>
    <w:p>
      <w:pPr>
        <w:rPr>
          <w:rFonts w:hint="eastAsia"/>
        </w:rPr>
      </w:pPr>
    </w:p>
    <w:bookmarkEnd w:id="0"/>
    <w:bookmarkEnd w:id="1"/>
    <w:bookmarkEnd w:id="2"/>
    <w:p>
      <w:pPr>
        <w:pStyle w:val="8"/>
        <w:spacing w:before="0" w:after="0" w:line="420" w:lineRule="exact"/>
        <w:rPr>
          <w:rFonts w:hint="eastAsia"/>
          <w:sz w:val="44"/>
          <w:szCs w:val="44"/>
        </w:rPr>
      </w:pPr>
      <w:bookmarkStart w:id="3" w:name="_Toc61938691"/>
      <w:r>
        <w:rPr>
          <w:rFonts w:hint="eastAsia" w:ascii="宋体" w:hAnsi="宋体"/>
          <w:sz w:val="44"/>
          <w:szCs w:val="44"/>
        </w:rPr>
        <w:t>估价师声明</w:t>
      </w:r>
      <w:bookmarkEnd w:id="3"/>
    </w:p>
    <w:p>
      <w:pPr>
        <w:spacing w:line="420" w:lineRule="exact"/>
        <w:ind w:firstLine="560" w:firstLineChars="200"/>
        <w:rPr>
          <w:rFonts w:hint="eastAsia"/>
          <w:bCs/>
          <w:sz w:val="28"/>
        </w:rPr>
      </w:pPr>
      <w:r>
        <w:rPr>
          <w:rFonts w:hint="eastAsia"/>
          <w:bCs/>
          <w:sz w:val="28"/>
        </w:rPr>
        <w:t>根据注册房地产估价师的职业道德及参与本次估价的注册房地产估价师的专业能力，我们在此郑重声明：</w:t>
      </w:r>
    </w:p>
    <w:p>
      <w:pPr>
        <w:spacing w:line="420" w:lineRule="exact"/>
        <w:ind w:firstLine="560" w:firstLineChars="200"/>
        <w:rPr>
          <w:bCs/>
          <w:sz w:val="28"/>
        </w:rPr>
      </w:pPr>
      <w:r>
        <w:rPr>
          <w:rFonts w:hint="eastAsia"/>
          <w:bCs/>
          <w:sz w:val="28"/>
        </w:rPr>
        <w:t>1、注册房地产估价师在估价报告中对事实的说明是真实和准确的没有虚假记载、误导性陈述和重大遗漏；</w:t>
      </w:r>
    </w:p>
    <w:p>
      <w:pPr>
        <w:spacing w:line="420" w:lineRule="exact"/>
        <w:ind w:firstLine="560" w:firstLineChars="200"/>
        <w:rPr>
          <w:bCs/>
          <w:sz w:val="28"/>
        </w:rPr>
      </w:pPr>
      <w:r>
        <w:rPr>
          <w:bCs/>
          <w:sz w:val="28"/>
        </w:rPr>
        <w:t>2</w:t>
      </w:r>
      <w:r>
        <w:rPr>
          <w:rFonts w:hint="eastAsia"/>
          <w:bCs/>
          <w:sz w:val="28"/>
        </w:rPr>
        <w:t>、估价报告中的分析、意见和结论是注册房地产估价师独立、客观、公正的专业分析、意见和结论，但受到估价报告中已经说明的估价假设和限制条件的限制；</w:t>
      </w:r>
    </w:p>
    <w:p>
      <w:pPr>
        <w:spacing w:line="420" w:lineRule="exact"/>
        <w:ind w:firstLine="560" w:firstLineChars="200"/>
        <w:rPr>
          <w:bCs/>
          <w:sz w:val="28"/>
        </w:rPr>
      </w:pPr>
      <w:r>
        <w:rPr>
          <w:bCs/>
          <w:sz w:val="28"/>
        </w:rPr>
        <w:t>3</w:t>
      </w:r>
      <w:r>
        <w:rPr>
          <w:rFonts w:hint="eastAsia"/>
          <w:bCs/>
          <w:sz w:val="28"/>
        </w:rPr>
        <w:t>、注册房地产估价师与估价报告中的估价对象没有现实或潜在的利益，与估价委托人及估价利害关系人没有利害关系；</w:t>
      </w:r>
    </w:p>
    <w:p>
      <w:pPr>
        <w:spacing w:line="420" w:lineRule="exact"/>
        <w:ind w:firstLine="560" w:firstLineChars="200"/>
        <w:rPr>
          <w:rFonts w:hint="eastAsia"/>
          <w:bCs/>
          <w:sz w:val="28"/>
        </w:rPr>
      </w:pPr>
      <w:r>
        <w:rPr>
          <w:rFonts w:hint="eastAsia"/>
          <w:bCs/>
          <w:sz w:val="28"/>
        </w:rPr>
        <w:t>4、注册房地产估价师对本估价报告中的估价对象、估价委托人及估价利害关系人没有偏见。</w:t>
      </w:r>
    </w:p>
    <w:p>
      <w:pPr>
        <w:spacing w:line="420" w:lineRule="exact"/>
        <w:ind w:firstLine="560" w:firstLineChars="200"/>
        <w:rPr>
          <w:bCs/>
          <w:sz w:val="28"/>
        </w:rPr>
      </w:pPr>
      <w:r>
        <w:rPr>
          <w:rFonts w:hint="eastAsia"/>
          <w:bCs/>
          <w:sz w:val="28"/>
        </w:rPr>
        <w:t>5、注册房地产估价师是按照《房地产估价规范》【GB/T 50291-2015】、《房地产估价基本术语标准》【GB/T 50899-2013】进行分析，形成意见和结论，撰写本估价报告。</w:t>
      </w:r>
    </w:p>
    <w:p>
      <w:pPr>
        <w:spacing w:line="420" w:lineRule="exact"/>
        <w:ind w:firstLine="560" w:firstLineChars="200"/>
        <w:rPr>
          <w:rFonts w:hint="eastAsia"/>
          <w:bCs/>
          <w:sz w:val="28"/>
        </w:rPr>
      </w:pPr>
      <w:r>
        <w:rPr>
          <w:rFonts w:hint="eastAsia"/>
          <w:bCs/>
          <w:sz w:val="28"/>
        </w:rPr>
        <w:t>6、我公司注册房地产估价师</w:t>
      </w:r>
      <w:r>
        <w:rPr>
          <w:rFonts w:hint="eastAsia"/>
          <w:bCs/>
          <w:color w:val="FF0000"/>
          <w:sz w:val="28"/>
          <w:lang w:eastAsia="zh-CN"/>
        </w:rPr>
        <w:t>张振琴</w:t>
      </w:r>
      <w:r>
        <w:rPr>
          <w:rFonts w:hint="eastAsia"/>
          <w:bCs/>
          <w:color w:val="FF0000"/>
          <w:sz w:val="28"/>
        </w:rPr>
        <w:t>、</w:t>
      </w:r>
      <w:r>
        <w:rPr>
          <w:rFonts w:hint="eastAsia"/>
          <w:bCs/>
          <w:color w:val="FF0000"/>
          <w:sz w:val="28"/>
          <w:lang w:eastAsia="zh-CN"/>
        </w:rPr>
        <w:t>吕永春</w:t>
      </w:r>
      <w:r>
        <w:rPr>
          <w:rFonts w:hint="eastAsia"/>
          <w:bCs/>
          <w:sz w:val="28"/>
        </w:rPr>
        <w:t>已于价值时点对本估价报告中的估价对象的建筑结构、室内外状况进行了实地查勘记录</w:t>
      </w:r>
      <w:r>
        <w:rPr>
          <w:rFonts w:hint="eastAsia" w:ascii="宋体" w:hAnsi="宋体"/>
          <w:bCs/>
          <w:sz w:val="28"/>
          <w:szCs w:val="28"/>
        </w:rPr>
        <w:t>，</w:t>
      </w:r>
      <w:r>
        <w:rPr>
          <w:rFonts w:hint="eastAsia" w:ascii="宋体" w:hAnsi="宋体"/>
          <w:spacing w:val="7"/>
          <w:sz w:val="28"/>
          <w:szCs w:val="28"/>
        </w:rPr>
        <w:t>并进行记录拍摄了估价对象影像资料</w:t>
      </w:r>
      <w:r>
        <w:rPr>
          <w:rFonts w:hint="eastAsia"/>
          <w:bCs/>
          <w:sz w:val="28"/>
        </w:rPr>
        <w:t>。</w:t>
      </w:r>
    </w:p>
    <w:p>
      <w:pPr>
        <w:spacing w:line="420" w:lineRule="exact"/>
        <w:ind w:firstLine="560" w:firstLineChars="200"/>
        <w:rPr>
          <w:rFonts w:hint="eastAsia"/>
          <w:bCs/>
          <w:sz w:val="28"/>
        </w:rPr>
      </w:pPr>
      <w:r>
        <w:rPr>
          <w:rFonts w:hint="eastAsia"/>
          <w:bCs/>
          <w:sz w:val="28"/>
        </w:rPr>
        <w:t>7、没有人对本估价报告提供重要专业帮助。</w:t>
      </w:r>
    </w:p>
    <w:p>
      <w:pPr>
        <w:spacing w:line="420" w:lineRule="exact"/>
        <w:ind w:firstLine="537" w:firstLineChars="192"/>
        <w:rPr>
          <w:rFonts w:hint="eastAsia" w:ascii="宋体" w:hAnsi="宋体"/>
          <w:sz w:val="28"/>
        </w:rPr>
      </w:pPr>
      <w:r>
        <w:rPr>
          <w:rFonts w:hint="eastAsia" w:ascii="宋体" w:hAnsi="宋体"/>
          <w:sz w:val="28"/>
        </w:rPr>
        <w:t>参加本次估价的国家注册房地产估价师：</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9"/>
        <w:gridCol w:w="2532"/>
        <w:gridCol w:w="3208"/>
        <w:gridCol w:w="1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6" w:hRule="atLeast"/>
        </w:trPr>
        <w:tc>
          <w:tcPr>
            <w:tcW w:w="1149" w:type="dxa"/>
            <w:noWrap w:val="0"/>
            <w:vAlign w:val="center"/>
          </w:tcPr>
          <w:p>
            <w:pPr>
              <w:spacing w:line="360" w:lineRule="exact"/>
              <w:jc w:val="center"/>
              <w:rPr>
                <w:rFonts w:hint="eastAsia" w:ascii="宋体" w:hAnsi="宋体"/>
                <w:sz w:val="28"/>
                <w:szCs w:val="28"/>
              </w:rPr>
            </w:pPr>
            <w:r>
              <w:rPr>
                <w:rFonts w:hint="eastAsia" w:ascii="宋体" w:hAnsi="宋体"/>
                <w:sz w:val="28"/>
                <w:szCs w:val="28"/>
              </w:rPr>
              <w:t>姓名</w:t>
            </w:r>
          </w:p>
        </w:tc>
        <w:tc>
          <w:tcPr>
            <w:tcW w:w="2532" w:type="dxa"/>
            <w:noWrap w:val="0"/>
            <w:vAlign w:val="center"/>
          </w:tcPr>
          <w:p>
            <w:pPr>
              <w:spacing w:line="360" w:lineRule="exact"/>
              <w:jc w:val="center"/>
              <w:rPr>
                <w:rFonts w:hint="eastAsia" w:ascii="宋体" w:hAnsi="宋体"/>
                <w:sz w:val="28"/>
                <w:szCs w:val="28"/>
              </w:rPr>
            </w:pPr>
            <w:r>
              <w:rPr>
                <w:rFonts w:hint="eastAsia" w:ascii="宋体" w:hAnsi="宋体"/>
                <w:sz w:val="28"/>
                <w:szCs w:val="28"/>
              </w:rPr>
              <w:t>注册号</w:t>
            </w:r>
          </w:p>
        </w:tc>
        <w:tc>
          <w:tcPr>
            <w:tcW w:w="3208" w:type="dxa"/>
            <w:noWrap w:val="0"/>
            <w:vAlign w:val="center"/>
          </w:tcPr>
          <w:p>
            <w:pPr>
              <w:spacing w:line="360" w:lineRule="exact"/>
              <w:jc w:val="center"/>
              <w:rPr>
                <w:rFonts w:hint="eastAsia" w:ascii="宋体" w:hAnsi="宋体"/>
                <w:sz w:val="28"/>
                <w:szCs w:val="28"/>
              </w:rPr>
            </w:pPr>
            <w:r>
              <w:rPr>
                <w:rFonts w:hint="eastAsia" w:ascii="宋体" w:hAnsi="宋体"/>
                <w:sz w:val="28"/>
                <w:szCs w:val="28"/>
              </w:rPr>
              <w:t>签 名</w:t>
            </w:r>
          </w:p>
        </w:tc>
        <w:tc>
          <w:tcPr>
            <w:tcW w:w="1991" w:type="dxa"/>
            <w:noWrap w:val="0"/>
            <w:vAlign w:val="center"/>
          </w:tcPr>
          <w:p>
            <w:pPr>
              <w:spacing w:line="360" w:lineRule="exact"/>
              <w:jc w:val="center"/>
              <w:rPr>
                <w:rFonts w:hint="eastAsia" w:ascii="宋体" w:hAnsi="宋体"/>
                <w:sz w:val="28"/>
                <w:szCs w:val="28"/>
              </w:rPr>
            </w:pPr>
            <w:r>
              <w:rPr>
                <w:rFonts w:hint="eastAsia" w:ascii="宋体" w:hAnsi="宋体"/>
                <w:sz w:val="28"/>
                <w:szCs w:val="28"/>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28" w:hRule="atLeast"/>
        </w:trPr>
        <w:tc>
          <w:tcPr>
            <w:tcW w:w="1149" w:type="dxa"/>
            <w:noWrap w:val="0"/>
            <w:vAlign w:val="center"/>
          </w:tcPr>
          <w:p>
            <w:pPr>
              <w:spacing w:line="360" w:lineRule="exact"/>
              <w:jc w:val="center"/>
              <w:rPr>
                <w:rFonts w:hint="eastAsia" w:ascii="宋体" w:hAnsi="宋体" w:eastAsia="宋体"/>
                <w:sz w:val="28"/>
                <w:szCs w:val="28"/>
                <w:lang w:eastAsia="zh-CN"/>
              </w:rPr>
            </w:pPr>
            <w:r>
              <w:rPr>
                <w:rFonts w:hint="eastAsia" w:ascii="宋体" w:hAnsi="宋体"/>
                <w:sz w:val="28"/>
                <w:szCs w:val="28"/>
                <w:lang w:eastAsia="zh-CN"/>
              </w:rPr>
              <w:t>张振琴</w:t>
            </w:r>
          </w:p>
        </w:tc>
        <w:tc>
          <w:tcPr>
            <w:tcW w:w="2532" w:type="dxa"/>
            <w:noWrap w:val="0"/>
            <w:vAlign w:val="center"/>
          </w:tcPr>
          <w:p>
            <w:pPr>
              <w:spacing w:line="360" w:lineRule="exact"/>
              <w:jc w:val="center"/>
              <w:rPr>
                <w:rFonts w:ascii="宋体" w:hAnsi="宋体"/>
                <w:sz w:val="28"/>
                <w:szCs w:val="28"/>
              </w:rPr>
            </w:pPr>
            <w:r>
              <w:rPr>
                <w:rFonts w:hint="eastAsia" w:ascii="宋体" w:hAnsi="宋体"/>
                <w:sz w:val="28"/>
                <w:szCs w:val="28"/>
              </w:rPr>
              <w:t>注册房地产估价师</w:t>
            </w:r>
          </w:p>
          <w:p>
            <w:pPr>
              <w:spacing w:line="360" w:lineRule="exact"/>
              <w:jc w:val="center"/>
              <w:rPr>
                <w:rFonts w:hint="default" w:ascii="宋体" w:hAnsi="宋体" w:eastAsia="宋体"/>
                <w:sz w:val="28"/>
                <w:szCs w:val="28"/>
                <w:lang w:val="en-US" w:eastAsia="zh-CN"/>
              </w:rPr>
            </w:pPr>
            <w:r>
              <w:rPr>
                <w:rFonts w:hint="eastAsia" w:ascii="宋体" w:hAnsi="宋体"/>
                <w:sz w:val="28"/>
                <w:szCs w:val="28"/>
                <w:lang w:eastAsia="zh-CN"/>
              </w:rPr>
              <w:t>6420</w:t>
            </w:r>
            <w:r>
              <w:rPr>
                <w:rFonts w:hint="eastAsia" w:ascii="宋体" w:hAnsi="宋体"/>
                <w:sz w:val="28"/>
                <w:szCs w:val="28"/>
                <w:lang w:val="en-US" w:eastAsia="zh-CN"/>
              </w:rPr>
              <w:t>0</w:t>
            </w:r>
            <w:r>
              <w:rPr>
                <w:rFonts w:hint="eastAsia" w:ascii="宋体" w:hAnsi="宋体"/>
                <w:sz w:val="28"/>
                <w:szCs w:val="28"/>
                <w:lang w:eastAsia="zh-CN"/>
              </w:rPr>
              <w:t>000</w:t>
            </w:r>
            <w:r>
              <w:rPr>
                <w:rFonts w:hint="eastAsia" w:ascii="宋体" w:hAnsi="宋体"/>
                <w:sz w:val="28"/>
                <w:szCs w:val="28"/>
                <w:lang w:val="en-US" w:eastAsia="zh-CN"/>
              </w:rPr>
              <w:t>12</w:t>
            </w:r>
          </w:p>
        </w:tc>
        <w:tc>
          <w:tcPr>
            <w:tcW w:w="3208" w:type="dxa"/>
            <w:noWrap w:val="0"/>
            <w:vAlign w:val="center"/>
          </w:tcPr>
          <w:p>
            <w:pPr>
              <w:spacing w:line="360" w:lineRule="exact"/>
              <w:jc w:val="center"/>
              <w:rPr>
                <w:rFonts w:hint="eastAsia" w:ascii="宋体" w:hAnsi="宋体"/>
                <w:sz w:val="28"/>
                <w:szCs w:val="28"/>
              </w:rPr>
            </w:pPr>
          </w:p>
        </w:tc>
        <w:tc>
          <w:tcPr>
            <w:tcW w:w="1991" w:type="dxa"/>
            <w:noWrap w:val="0"/>
            <w:vAlign w:val="center"/>
          </w:tcPr>
          <w:p>
            <w:pPr>
              <w:spacing w:line="360" w:lineRule="exact"/>
              <w:jc w:val="right"/>
              <w:rPr>
                <w:rFonts w:hint="eastAsia" w:ascii="宋体" w:hAnsi="宋体"/>
                <w:sz w:val="28"/>
                <w:szCs w:val="28"/>
              </w:rPr>
            </w:pPr>
            <w:r>
              <w:rPr>
                <w:rFonts w:hint="eastAsia" w:ascii="宋体" w:hAnsi="宋体"/>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08" w:hRule="atLeast"/>
        </w:trPr>
        <w:tc>
          <w:tcPr>
            <w:tcW w:w="1149" w:type="dxa"/>
            <w:noWrap w:val="0"/>
            <w:vAlign w:val="center"/>
          </w:tcPr>
          <w:p>
            <w:pPr>
              <w:spacing w:line="360" w:lineRule="exact"/>
              <w:jc w:val="center"/>
              <w:rPr>
                <w:rFonts w:hint="eastAsia" w:ascii="宋体" w:hAnsi="宋体" w:eastAsia="宋体"/>
                <w:sz w:val="28"/>
                <w:szCs w:val="28"/>
                <w:lang w:eastAsia="zh-CN"/>
              </w:rPr>
            </w:pPr>
            <w:r>
              <w:rPr>
                <w:rFonts w:hint="eastAsia" w:ascii="宋体" w:hAnsi="宋体"/>
                <w:sz w:val="28"/>
                <w:szCs w:val="28"/>
                <w:lang w:eastAsia="zh-CN"/>
              </w:rPr>
              <w:t>吕永春</w:t>
            </w:r>
          </w:p>
        </w:tc>
        <w:tc>
          <w:tcPr>
            <w:tcW w:w="2532" w:type="dxa"/>
            <w:noWrap w:val="0"/>
            <w:vAlign w:val="center"/>
          </w:tcPr>
          <w:p>
            <w:pPr>
              <w:spacing w:line="360" w:lineRule="exact"/>
              <w:jc w:val="center"/>
              <w:rPr>
                <w:rFonts w:ascii="宋体" w:hAnsi="宋体"/>
                <w:sz w:val="28"/>
                <w:szCs w:val="28"/>
              </w:rPr>
            </w:pPr>
            <w:r>
              <w:rPr>
                <w:rFonts w:hint="eastAsia" w:ascii="宋体" w:hAnsi="宋体"/>
                <w:sz w:val="28"/>
                <w:szCs w:val="28"/>
              </w:rPr>
              <w:t>注册房地产估价师</w:t>
            </w:r>
          </w:p>
          <w:p>
            <w:pPr>
              <w:spacing w:line="360" w:lineRule="exact"/>
              <w:jc w:val="center"/>
              <w:rPr>
                <w:rFonts w:hint="eastAsia" w:ascii="宋体" w:hAnsi="宋体" w:eastAsia="宋体"/>
                <w:sz w:val="28"/>
                <w:szCs w:val="28"/>
                <w:lang w:eastAsia="zh-CN"/>
              </w:rPr>
            </w:pPr>
            <w:r>
              <w:rPr>
                <w:rFonts w:hint="eastAsia" w:ascii="宋体" w:hAnsi="宋体"/>
                <w:sz w:val="28"/>
                <w:szCs w:val="28"/>
                <w:lang w:eastAsia="zh-CN"/>
              </w:rPr>
              <w:t>6420200009</w:t>
            </w:r>
          </w:p>
        </w:tc>
        <w:tc>
          <w:tcPr>
            <w:tcW w:w="3208" w:type="dxa"/>
            <w:noWrap w:val="0"/>
            <w:vAlign w:val="center"/>
          </w:tcPr>
          <w:p>
            <w:pPr>
              <w:spacing w:line="360" w:lineRule="exact"/>
              <w:jc w:val="center"/>
              <w:rPr>
                <w:rFonts w:hint="eastAsia" w:ascii="宋体" w:hAnsi="宋体"/>
                <w:sz w:val="28"/>
                <w:szCs w:val="28"/>
              </w:rPr>
            </w:pPr>
          </w:p>
        </w:tc>
        <w:tc>
          <w:tcPr>
            <w:tcW w:w="1991" w:type="dxa"/>
            <w:noWrap w:val="0"/>
            <w:vAlign w:val="center"/>
          </w:tcPr>
          <w:p>
            <w:pPr>
              <w:spacing w:line="360" w:lineRule="exact"/>
              <w:jc w:val="right"/>
              <w:rPr>
                <w:rFonts w:hint="eastAsia" w:ascii="宋体" w:hAnsi="宋体"/>
                <w:sz w:val="28"/>
                <w:szCs w:val="28"/>
              </w:rPr>
            </w:pPr>
            <w:r>
              <w:rPr>
                <w:rFonts w:hint="eastAsia" w:ascii="宋体" w:hAnsi="宋体"/>
                <w:sz w:val="28"/>
                <w:szCs w:val="28"/>
              </w:rPr>
              <w:t>年  月  日</w:t>
            </w:r>
          </w:p>
        </w:tc>
      </w:tr>
    </w:tbl>
    <w:p>
      <w:pPr>
        <w:spacing w:line="560" w:lineRule="exact"/>
        <w:jc w:val="center"/>
        <w:rPr>
          <w:rFonts w:hint="eastAsia" w:ascii="宋体" w:hAnsi="宋体"/>
          <w:b/>
          <w:bCs/>
          <w:sz w:val="44"/>
          <w:szCs w:val="44"/>
        </w:rPr>
      </w:pPr>
    </w:p>
    <w:p>
      <w:pPr>
        <w:spacing w:line="460" w:lineRule="exact"/>
        <w:jc w:val="both"/>
        <w:rPr>
          <w:rFonts w:hint="eastAsia" w:ascii="宋体" w:hAnsi="宋体"/>
          <w:b/>
          <w:bCs/>
          <w:sz w:val="44"/>
          <w:szCs w:val="44"/>
        </w:rPr>
      </w:pPr>
    </w:p>
    <w:p>
      <w:pPr>
        <w:pStyle w:val="8"/>
        <w:spacing w:before="0" w:after="0" w:line="500" w:lineRule="exact"/>
        <w:ind w:firstLine="883" w:firstLineChars="200"/>
        <w:rPr>
          <w:rFonts w:hint="eastAsia"/>
          <w:sz w:val="44"/>
          <w:szCs w:val="44"/>
        </w:rPr>
      </w:pPr>
      <w:bookmarkStart w:id="4" w:name="_Toc61938692"/>
      <w:bookmarkStart w:id="5" w:name="_Toc27823887"/>
      <w:r>
        <w:rPr>
          <w:rFonts w:hint="eastAsia"/>
          <w:sz w:val="44"/>
          <w:szCs w:val="44"/>
        </w:rPr>
        <w:t>估价的假设和限制条件</w:t>
      </w:r>
      <w:bookmarkEnd w:id="4"/>
      <w:bookmarkEnd w:id="5"/>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b/>
          <w:sz w:val="28"/>
        </w:rPr>
      </w:pPr>
      <w:r>
        <w:rPr>
          <w:rFonts w:hint="eastAsia"/>
          <w:b/>
          <w:sz w:val="28"/>
        </w:rPr>
        <w:t>一、一般性假设：</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cs="宋体"/>
          <w:kern w:val="0"/>
          <w:sz w:val="28"/>
          <w:szCs w:val="28"/>
        </w:rPr>
      </w:pPr>
      <w:r>
        <w:rPr>
          <w:rFonts w:hint="eastAsia" w:ascii="宋体" w:hAnsi="宋体" w:cs="宋体"/>
          <w:kern w:val="0"/>
          <w:sz w:val="28"/>
          <w:szCs w:val="28"/>
        </w:rPr>
        <w:t>1、估价对象委托人提供了估价对象的</w:t>
      </w:r>
      <w:r>
        <w:rPr>
          <w:rFonts w:hint="eastAsia" w:ascii="宋体" w:hAnsi="宋体"/>
          <w:sz w:val="28"/>
        </w:rPr>
        <w:t>《</w:t>
      </w:r>
      <w:r>
        <w:rPr>
          <w:rFonts w:hint="eastAsia" w:ascii="宋体" w:hAnsi="宋体"/>
          <w:sz w:val="28"/>
          <w:lang w:eastAsia="zh-CN"/>
        </w:rPr>
        <w:t>房屋所有权证</w:t>
      </w:r>
      <w:r>
        <w:rPr>
          <w:rFonts w:hint="eastAsia" w:ascii="宋体" w:hAnsi="宋体"/>
          <w:sz w:val="28"/>
        </w:rPr>
        <w:t>》</w:t>
      </w:r>
      <w:r>
        <w:rPr>
          <w:rFonts w:hint="eastAsia" w:ascii="宋体" w:hAnsi="宋体"/>
          <w:sz w:val="28"/>
          <w:lang w:eastAsia="zh-CN"/>
        </w:rPr>
        <w:t>、</w:t>
      </w:r>
      <w:r>
        <w:rPr>
          <w:rFonts w:hint="eastAsia" w:ascii="宋体" w:hAnsi="宋体"/>
          <w:sz w:val="28"/>
        </w:rPr>
        <w:t>《</w:t>
      </w:r>
      <w:r>
        <w:rPr>
          <w:rFonts w:hint="eastAsia" w:ascii="宋体" w:hAnsi="宋体"/>
          <w:sz w:val="28"/>
          <w:lang w:eastAsia="zh-CN"/>
        </w:rPr>
        <w:t>平罗县</w:t>
      </w:r>
      <w:r>
        <w:rPr>
          <w:rFonts w:hint="eastAsia" w:ascii="宋体" w:hAnsi="宋体"/>
          <w:sz w:val="28"/>
        </w:rPr>
        <w:t>不动产登记信息查询单》权属证书复印件，</w:t>
      </w:r>
      <w:r>
        <w:rPr>
          <w:rFonts w:hint="eastAsia" w:ascii="宋体" w:hAnsi="宋体" w:cs="宋体"/>
          <w:kern w:val="0"/>
          <w:sz w:val="28"/>
          <w:szCs w:val="28"/>
        </w:rPr>
        <w:t>我们对权属证书上记载的权属、面积、用途等资料进行了审慎检查，受查询资格限制，但未向政府有关部门进行核实，在无理由怀疑其合法性、真实性、准确性和完整性的情况下，假定估价委托人提供的资料合法、真实、准确、完整。</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cs="宋体"/>
          <w:kern w:val="0"/>
          <w:sz w:val="28"/>
          <w:szCs w:val="28"/>
        </w:rPr>
      </w:pPr>
      <w:r>
        <w:rPr>
          <w:rFonts w:hint="eastAsia" w:ascii="宋体" w:hAnsi="宋体" w:cs="宋体"/>
          <w:kern w:val="0"/>
          <w:sz w:val="28"/>
          <w:szCs w:val="28"/>
        </w:rPr>
        <w:t>2、注册房地产估价师已对房屋安全、环境污染等影响估价对象价值的重大因素给予了关注，由于专业能力限制，无法对其被遮盖、未暴露及难以接触到的内部结构安全性进行检测或鉴定，在无理由怀疑估价对象存在安全隐患且无相应的专业机构进行鉴定、检测的情况下，假定估价对象能正常安全使用</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cs="宋体"/>
          <w:kern w:val="0"/>
          <w:sz w:val="28"/>
          <w:szCs w:val="28"/>
        </w:rPr>
      </w:pPr>
      <w:r>
        <w:rPr>
          <w:rFonts w:hint="eastAsia" w:ascii="宋体" w:hAnsi="宋体" w:cs="宋体"/>
          <w:kern w:val="0"/>
          <w:sz w:val="28"/>
          <w:szCs w:val="28"/>
        </w:rPr>
        <w:t>3、估价对象评估范围由估价委托人确定并现场指认，注册房地产估价师进行现场查勘时，未对房屋建筑面积进行专业测量，经现场查勘观察，估价对象房屋建筑面积与</w:t>
      </w:r>
      <w:r>
        <w:rPr>
          <w:rFonts w:hint="eastAsia" w:ascii="宋体" w:hAnsi="宋体" w:cs="宋体"/>
          <w:color w:val="FF0000"/>
          <w:kern w:val="0"/>
          <w:sz w:val="28"/>
          <w:szCs w:val="28"/>
        </w:rPr>
        <w:t>《房屋所有权证》</w:t>
      </w:r>
      <w:r>
        <w:rPr>
          <w:rFonts w:hint="eastAsia" w:ascii="宋体" w:hAnsi="宋体" w:cs="宋体"/>
          <w:kern w:val="0"/>
          <w:sz w:val="28"/>
          <w:szCs w:val="28"/>
        </w:rPr>
        <w:t>记载建筑面积大体相当。</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cs="宋体"/>
          <w:kern w:val="0"/>
          <w:sz w:val="28"/>
          <w:szCs w:val="28"/>
        </w:rPr>
      </w:pPr>
      <w:r>
        <w:rPr>
          <w:rFonts w:hint="eastAsia" w:ascii="宋体" w:hAnsi="宋体" w:cs="宋体"/>
          <w:kern w:val="0"/>
          <w:sz w:val="28"/>
          <w:szCs w:val="28"/>
        </w:rPr>
        <w:t>4、估价对象可在市场自由交易，在价值时点的房地产市场为公开、平等、自愿的交易市场，即能满足以下条件：⑴自愿销售的卖方及自愿购买的买方；⑵交易双方无任何利害关系，交易的目的是追求各自利益的最大化；⑶交易双方精明、谨慎行事，并且了解交易对象、知晓市场行情；⑷交易双方有较充裕的时间进行交易；⑸不存在特殊买者的附加出价。</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cs="宋体"/>
          <w:kern w:val="0"/>
          <w:sz w:val="28"/>
          <w:szCs w:val="28"/>
        </w:rPr>
      </w:pPr>
      <w:r>
        <w:rPr>
          <w:rFonts w:hint="eastAsia" w:ascii="宋体" w:hAnsi="宋体" w:cs="宋体"/>
          <w:kern w:val="0"/>
          <w:sz w:val="28"/>
          <w:szCs w:val="28"/>
        </w:rPr>
        <w:t>5、估价对象在合法情况下以最高最佳用途使用为估价前提，本估价报告的房地产价值是指估价对象在现状条件下，按照目前的用途继续正常使用，若转换用途，本估价结果无效。</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cs="宋体"/>
          <w:kern w:val="0"/>
          <w:sz w:val="28"/>
          <w:szCs w:val="28"/>
        </w:rPr>
      </w:pPr>
      <w:r>
        <w:rPr>
          <w:rFonts w:hint="eastAsia" w:ascii="宋体" w:hAnsi="宋体" w:cs="宋体"/>
          <w:kern w:val="0"/>
          <w:sz w:val="28"/>
          <w:szCs w:val="28"/>
        </w:rPr>
        <w:t>6、在价值时点</w:t>
      </w:r>
      <w:r>
        <w:rPr>
          <w:rFonts w:hint="eastAsia" w:ascii="宋体" w:hAnsi="宋体" w:cs="宋体"/>
          <w:color w:val="FF0000"/>
          <w:kern w:val="0"/>
          <w:sz w:val="28"/>
          <w:szCs w:val="28"/>
          <w:lang w:eastAsia="zh-CN"/>
        </w:rPr>
        <w:t>2021年7月16日</w:t>
      </w:r>
      <w:r>
        <w:rPr>
          <w:rFonts w:hint="eastAsia" w:ascii="宋体" w:hAnsi="宋体" w:cs="宋体"/>
          <w:kern w:val="0"/>
          <w:sz w:val="28"/>
          <w:szCs w:val="28"/>
        </w:rPr>
        <w:t>，估价目的</w:t>
      </w:r>
      <w:r>
        <w:rPr>
          <w:rFonts w:hint="eastAsia" w:ascii="宋体" w:hAnsi="宋体"/>
          <w:sz w:val="28"/>
        </w:rPr>
        <w:t>为人民法院确定财产处置参考价提供参考依据。</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cs="宋体"/>
          <w:kern w:val="0"/>
          <w:sz w:val="28"/>
          <w:szCs w:val="28"/>
        </w:rPr>
      </w:pPr>
      <w:r>
        <w:rPr>
          <w:rFonts w:hint="eastAsia" w:ascii="宋体" w:hAnsi="宋体" w:cs="宋体"/>
          <w:kern w:val="0"/>
          <w:sz w:val="28"/>
          <w:szCs w:val="28"/>
        </w:rPr>
        <w:t>7、本次评估未考虑宏观经济政策变化，房地产市场供需关系变化及自然和其他不可抗力等因素对房地产价值的影响，也未考虑特殊交易方式下的特殊交易价格对本估价结果的影响，本报告以估价对象在价值时点市场供应关系、市场结构保持稳定、未发生重大变化或实质性改变。</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sz w:val="28"/>
        </w:rPr>
      </w:pPr>
      <w:r>
        <w:rPr>
          <w:rFonts w:hint="eastAsia" w:ascii="宋体" w:hAnsi="宋体"/>
          <w:sz w:val="28"/>
        </w:rPr>
        <w:t>8、本估价报告未考虑估价委托人因负债而造成短期内强制处分以及抵押到期清偿因素等对估价对象房地产价格。</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b/>
          <w:sz w:val="28"/>
        </w:rPr>
      </w:pPr>
      <w:r>
        <w:rPr>
          <w:rFonts w:hint="eastAsia"/>
          <w:b/>
          <w:sz w:val="28"/>
        </w:rPr>
        <w:t>二、未定事项假设：</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sz w:val="28"/>
          <w:szCs w:val="28"/>
          <w:lang w:eastAsia="zh-CN"/>
        </w:rPr>
      </w:pPr>
      <w:r>
        <w:rPr>
          <w:rFonts w:hint="eastAsia" w:ascii="宋体" w:hAnsi="宋体"/>
          <w:sz w:val="28"/>
          <w:szCs w:val="28"/>
          <w:lang w:eastAsia="zh-CN"/>
        </w:rPr>
        <w:t>无未定事项假设。</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宋体" w:hAnsi="宋体" w:cs="宋体"/>
          <w:b/>
          <w:kern w:val="0"/>
          <w:sz w:val="28"/>
          <w:szCs w:val="28"/>
        </w:rPr>
      </w:pPr>
      <w:r>
        <w:rPr>
          <w:rFonts w:hint="eastAsia" w:ascii="宋体" w:hAnsi="宋体" w:cs="宋体"/>
          <w:b/>
          <w:kern w:val="0"/>
          <w:sz w:val="28"/>
          <w:szCs w:val="28"/>
        </w:rPr>
        <w:t>三、背离事实假设</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color w:val="FF0000"/>
          <w:sz w:val="28"/>
        </w:rPr>
      </w:pPr>
      <w:r>
        <w:rPr>
          <w:rFonts w:hint="eastAsia" w:ascii="宋体" w:hAnsi="宋体" w:cs="宋体"/>
          <w:color w:val="FF0000"/>
          <w:kern w:val="0"/>
          <w:sz w:val="28"/>
          <w:szCs w:val="28"/>
        </w:rPr>
        <w:t>1、估价结果是</w:t>
      </w:r>
      <w:r>
        <w:rPr>
          <w:rFonts w:hint="eastAsia" w:ascii="宋体" w:hAnsi="宋体"/>
          <w:color w:val="FF0000"/>
          <w:sz w:val="28"/>
        </w:rPr>
        <w:t>为人民法院确定财产处置参考价提供参考依据</w:t>
      </w:r>
      <w:r>
        <w:rPr>
          <w:rFonts w:hint="eastAsia" w:ascii="宋体" w:hAnsi="宋体" w:cs="宋体"/>
          <w:color w:val="FF0000"/>
          <w:kern w:val="0"/>
          <w:sz w:val="28"/>
          <w:szCs w:val="28"/>
        </w:rPr>
        <w:t>，</w:t>
      </w:r>
      <w:r>
        <w:rPr>
          <w:rFonts w:hint="eastAsia" w:ascii="宋体" w:hAnsi="宋体"/>
          <w:color w:val="FF0000"/>
          <w:sz w:val="28"/>
        </w:rPr>
        <w:t>依据估价委托人提供的《不动产登记信息》显示：估价对象有查封、抵押，因本次估价目的为人民法院确定财产处置参考价提供参考依据，故未考虑拍卖财产查封</w:t>
      </w:r>
      <w:r>
        <w:rPr>
          <w:rFonts w:hint="eastAsia" w:ascii="宋体" w:hAnsi="宋体"/>
          <w:color w:val="FF0000"/>
          <w:sz w:val="28"/>
          <w:lang w:eastAsia="zh-CN"/>
        </w:rPr>
        <w:t>、抵押</w:t>
      </w:r>
      <w:r>
        <w:rPr>
          <w:rFonts w:hint="eastAsia" w:ascii="宋体" w:hAnsi="宋体"/>
          <w:color w:val="FF0000"/>
          <w:sz w:val="28"/>
        </w:rPr>
        <w:t>因素，提请估价报告使用人注意；</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cs="宋体"/>
          <w:color w:val="FF0000"/>
          <w:kern w:val="0"/>
          <w:sz w:val="28"/>
          <w:szCs w:val="28"/>
        </w:rPr>
      </w:pPr>
      <w:r>
        <w:rPr>
          <w:rFonts w:hint="eastAsia" w:ascii="宋体" w:hAnsi="宋体" w:cs="宋体"/>
          <w:color w:val="FF0000"/>
          <w:kern w:val="0"/>
          <w:sz w:val="28"/>
          <w:szCs w:val="28"/>
        </w:rPr>
        <w:t>2、估价结果未考虑估价对象及其所有权人已承担的债务、或有债务及经营决策失误或市场动作失当对其价值的影响；亦未扣除房屋二次交易过户时应缴纳的税费及买受人使用过程中所欠的物业费用、暖气费用、水电费用等，特提请估价委托人注意！</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宋体" w:hAnsi="宋体" w:cs="宋体"/>
          <w:b/>
          <w:kern w:val="0"/>
          <w:sz w:val="28"/>
          <w:szCs w:val="28"/>
        </w:rPr>
      </w:pPr>
      <w:r>
        <w:rPr>
          <w:rFonts w:hint="eastAsia" w:ascii="宋体" w:hAnsi="宋体" w:cs="宋体"/>
          <w:b/>
          <w:kern w:val="0"/>
          <w:sz w:val="28"/>
          <w:szCs w:val="28"/>
        </w:rPr>
        <w:t>四、不相一致假设</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cs="宋体"/>
          <w:kern w:val="0"/>
          <w:sz w:val="28"/>
          <w:szCs w:val="28"/>
        </w:rPr>
      </w:pPr>
      <w:r>
        <w:rPr>
          <w:rFonts w:hint="eastAsia" w:ascii="宋体" w:hAnsi="宋体" w:cs="宋体"/>
          <w:kern w:val="0"/>
          <w:sz w:val="28"/>
          <w:szCs w:val="28"/>
        </w:rPr>
        <w:t>估价委托人提供的《</w:t>
      </w:r>
      <w:r>
        <w:rPr>
          <w:rFonts w:hint="eastAsia" w:ascii="宋体" w:hAnsi="宋体" w:cs="宋体"/>
          <w:kern w:val="0"/>
          <w:sz w:val="28"/>
          <w:szCs w:val="28"/>
          <w:lang w:eastAsia="zh-CN"/>
        </w:rPr>
        <w:t>房屋所有权证</w:t>
      </w:r>
      <w:r>
        <w:rPr>
          <w:rFonts w:hint="eastAsia" w:ascii="宋体" w:hAnsi="宋体" w:cs="宋体"/>
          <w:kern w:val="0"/>
          <w:sz w:val="28"/>
          <w:szCs w:val="28"/>
        </w:rPr>
        <w:t>》记载：</w:t>
      </w:r>
      <w:r>
        <w:rPr>
          <w:rFonts w:hint="eastAsia" w:ascii="宋体" w:hAnsi="宋体" w:cs="宋体"/>
          <w:kern w:val="0"/>
          <w:sz w:val="28"/>
          <w:szCs w:val="28"/>
          <w:lang w:eastAsia="zh-CN"/>
        </w:rPr>
        <w:t>房屋坐落平罗县建设路北侧银北丽景小区</w:t>
      </w:r>
      <w:r>
        <w:rPr>
          <w:rFonts w:hint="eastAsia" w:ascii="宋体" w:hAnsi="宋体" w:cs="宋体"/>
          <w:kern w:val="0"/>
          <w:sz w:val="28"/>
          <w:szCs w:val="28"/>
          <w:lang w:val="en-US" w:eastAsia="zh-CN"/>
        </w:rPr>
        <w:t>13-1-401号</w:t>
      </w:r>
      <w:r>
        <w:rPr>
          <w:rFonts w:hint="eastAsia" w:ascii="宋体" w:hAnsi="宋体" w:cs="宋体"/>
          <w:kern w:val="0"/>
          <w:sz w:val="28"/>
          <w:szCs w:val="28"/>
        </w:rPr>
        <w:t>，</w:t>
      </w:r>
      <w:r>
        <w:rPr>
          <w:rFonts w:hint="eastAsia" w:ascii="宋体" w:hAnsi="宋体" w:cs="宋体"/>
          <w:kern w:val="0"/>
          <w:sz w:val="28"/>
          <w:szCs w:val="28"/>
          <w:lang w:eastAsia="zh-CN"/>
        </w:rPr>
        <w:t>现场查看小区名称为唐华丽景</w:t>
      </w:r>
      <w:r>
        <w:rPr>
          <w:rFonts w:hint="eastAsia" w:ascii="宋体" w:hAnsi="宋体"/>
          <w:color w:val="000000"/>
          <w:sz w:val="28"/>
        </w:rPr>
        <w:t>，</w:t>
      </w:r>
      <w:r>
        <w:rPr>
          <w:rFonts w:hint="eastAsia" w:ascii="宋体" w:hAnsi="宋体"/>
          <w:color w:val="000000"/>
          <w:sz w:val="28"/>
          <w:lang w:eastAsia="zh-CN"/>
        </w:rPr>
        <w:t>小区名称</w:t>
      </w:r>
      <w:r>
        <w:rPr>
          <w:rFonts w:hint="eastAsia" w:ascii="宋体" w:hAnsi="宋体"/>
          <w:color w:val="000000"/>
          <w:sz w:val="28"/>
        </w:rPr>
        <w:t>不相一致。本次评估以</w:t>
      </w:r>
      <w:r>
        <w:rPr>
          <w:rFonts w:hint="eastAsia" w:ascii="宋体" w:hAnsi="宋体" w:cs="宋体"/>
          <w:kern w:val="0"/>
          <w:sz w:val="28"/>
          <w:szCs w:val="28"/>
        </w:rPr>
        <w:t>《</w:t>
      </w:r>
      <w:r>
        <w:rPr>
          <w:rFonts w:hint="eastAsia" w:ascii="宋体" w:hAnsi="宋体" w:cs="宋体"/>
          <w:kern w:val="0"/>
          <w:sz w:val="28"/>
          <w:szCs w:val="28"/>
          <w:lang w:eastAsia="zh-CN"/>
        </w:rPr>
        <w:t>房屋所有权证</w:t>
      </w:r>
      <w:r>
        <w:rPr>
          <w:rFonts w:hint="eastAsia" w:ascii="宋体" w:hAnsi="宋体" w:cs="宋体"/>
          <w:kern w:val="0"/>
          <w:sz w:val="28"/>
          <w:szCs w:val="28"/>
        </w:rPr>
        <w:t>》记载为准。</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宋体" w:hAnsi="宋体" w:cs="宋体"/>
          <w:b/>
          <w:kern w:val="0"/>
          <w:sz w:val="28"/>
          <w:szCs w:val="28"/>
        </w:rPr>
      </w:pPr>
      <w:r>
        <w:rPr>
          <w:rFonts w:hint="eastAsia" w:ascii="宋体" w:hAnsi="宋体" w:cs="宋体"/>
          <w:b/>
          <w:kern w:val="0"/>
          <w:sz w:val="28"/>
          <w:szCs w:val="28"/>
        </w:rPr>
        <w:t>五、依据不足假设</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cs="宋体"/>
          <w:kern w:val="0"/>
          <w:sz w:val="28"/>
          <w:szCs w:val="28"/>
        </w:rPr>
      </w:pPr>
      <w:r>
        <w:rPr>
          <w:rFonts w:hint="eastAsia" w:ascii="宋体" w:hAnsi="宋体" w:cs="宋体"/>
          <w:kern w:val="0"/>
          <w:sz w:val="28"/>
          <w:szCs w:val="28"/>
        </w:rPr>
        <w:t>本次评估，估价委托人提供的</w:t>
      </w:r>
      <w:r>
        <w:rPr>
          <w:rFonts w:hint="eastAsia" w:ascii="宋体" w:hAnsi="宋体" w:cs="宋体"/>
          <w:color w:val="FF0000"/>
          <w:kern w:val="0"/>
          <w:sz w:val="28"/>
          <w:szCs w:val="28"/>
        </w:rPr>
        <w:t>《房屋所有权证》</w:t>
      </w:r>
      <w:r>
        <w:rPr>
          <w:rFonts w:hint="eastAsia" w:ascii="宋体" w:hAnsi="宋体" w:cs="宋体"/>
          <w:color w:val="FF0000"/>
          <w:kern w:val="0"/>
          <w:sz w:val="28"/>
          <w:szCs w:val="28"/>
          <w:lang w:eastAsia="zh-CN"/>
        </w:rPr>
        <w:t>、</w:t>
      </w:r>
      <w:r>
        <w:rPr>
          <w:rFonts w:hint="eastAsia" w:ascii="宋体" w:hAnsi="宋体"/>
          <w:color w:val="000000"/>
          <w:sz w:val="28"/>
        </w:rPr>
        <w:t>《不动产登记信息》</w:t>
      </w:r>
      <w:r>
        <w:rPr>
          <w:rFonts w:hint="eastAsia" w:ascii="宋体" w:hAnsi="宋体" w:cs="宋体"/>
          <w:kern w:val="0"/>
          <w:sz w:val="28"/>
          <w:szCs w:val="28"/>
        </w:rPr>
        <w:t>为复印件，假设其记载内容与原件一致，并以此为估价前提及假设限制条件。</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宋体" w:hAnsi="宋体" w:cs="宋体"/>
          <w:b/>
          <w:kern w:val="0"/>
          <w:sz w:val="28"/>
          <w:szCs w:val="28"/>
        </w:rPr>
      </w:pPr>
      <w:r>
        <w:rPr>
          <w:rFonts w:hint="eastAsia" w:ascii="宋体" w:hAnsi="宋体" w:cs="宋体"/>
          <w:b/>
          <w:kern w:val="0"/>
          <w:sz w:val="28"/>
          <w:szCs w:val="28"/>
        </w:rPr>
        <w:t>六、估价报告使用限制</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cs="宋体"/>
          <w:kern w:val="0"/>
          <w:sz w:val="28"/>
          <w:szCs w:val="28"/>
        </w:rPr>
      </w:pPr>
      <w:r>
        <w:rPr>
          <w:rFonts w:hint="eastAsia" w:ascii="宋体" w:hAnsi="宋体" w:cs="宋体"/>
          <w:kern w:val="0"/>
          <w:sz w:val="28"/>
          <w:szCs w:val="28"/>
        </w:rPr>
        <w:t>1、本估价报告仅用于</w:t>
      </w:r>
      <w:r>
        <w:rPr>
          <w:rFonts w:hint="eastAsia" w:ascii="宋体" w:hAnsi="宋体"/>
          <w:sz w:val="28"/>
        </w:rPr>
        <w:t>为人民法院确定财产处置参考价提供参考依据</w:t>
      </w:r>
      <w:r>
        <w:rPr>
          <w:rFonts w:hint="eastAsia" w:ascii="宋体" w:hAnsi="宋体" w:cs="宋体"/>
          <w:kern w:val="0"/>
          <w:sz w:val="28"/>
          <w:szCs w:val="28"/>
        </w:rPr>
        <w:t>，不得用于其他用途。</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cs="宋体"/>
          <w:kern w:val="0"/>
          <w:sz w:val="28"/>
          <w:szCs w:val="28"/>
        </w:rPr>
      </w:pPr>
      <w:r>
        <w:rPr>
          <w:rFonts w:hint="eastAsia" w:ascii="宋体" w:hAnsi="宋体" w:cs="宋体"/>
          <w:kern w:val="0"/>
          <w:sz w:val="28"/>
          <w:szCs w:val="28"/>
        </w:rPr>
        <w:t>2、本估价报告自出具之日起一年内有效。但价值时点后，在报告有效期内估价对象的质量及价格标准发生变化，并对估价对象价值产生明显影响时，不能直接使用本估价结果；超过一年，需重新进行估价。</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cs="宋体"/>
          <w:kern w:val="0"/>
          <w:sz w:val="28"/>
          <w:szCs w:val="28"/>
        </w:rPr>
      </w:pPr>
      <w:r>
        <w:rPr>
          <w:rFonts w:hint="eastAsia" w:ascii="宋体" w:hAnsi="宋体" w:cs="宋体"/>
          <w:kern w:val="0"/>
          <w:sz w:val="28"/>
          <w:szCs w:val="28"/>
        </w:rPr>
        <w:t>3、本估价报告专为估价委托人所使用，未经本估价机构同意，不得向估价委托人和报告审查部门之外的单位和个人提供；本报告的全部或部分及任何参考资料均不允许在任何公开发表的文件、通告或声明中引用，亦不得以其他任何方式公开发表。</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cs="宋体"/>
          <w:kern w:val="0"/>
          <w:sz w:val="28"/>
          <w:szCs w:val="28"/>
        </w:rPr>
      </w:pPr>
      <w:r>
        <w:rPr>
          <w:rFonts w:hint="eastAsia" w:ascii="宋体" w:hAnsi="宋体" w:cs="宋体"/>
          <w:kern w:val="0"/>
          <w:sz w:val="28"/>
          <w:szCs w:val="28"/>
        </w:rPr>
        <w:t>4、本次评估是在独立、公正、客观、科学的原则下作出的，本公司及参加评估工作的全体人员在评估中没有现实的和预期的利益，同时与经济行为相关各方之间没有个人利益关系或偏见。评估人员在评估过程中恪守职业道德和规范。本专业意见是</w:t>
      </w:r>
      <w:r>
        <w:rPr>
          <w:rFonts w:hint="eastAsia" w:ascii="宋体" w:hAnsi="宋体" w:cs="宋体"/>
          <w:kern w:val="0"/>
          <w:sz w:val="28"/>
          <w:szCs w:val="28"/>
          <w:lang w:eastAsia="zh-CN"/>
        </w:rPr>
        <w:t>宁夏正达通房地产资产评估有限公司</w:t>
      </w:r>
      <w:r>
        <w:rPr>
          <w:rFonts w:hint="eastAsia" w:ascii="宋体" w:hAnsi="宋体" w:cs="宋体"/>
          <w:kern w:val="0"/>
          <w:sz w:val="28"/>
          <w:szCs w:val="28"/>
        </w:rPr>
        <w:t>出具的，受本机构具体参加本项目评估人员的执业水平和能力的影响。</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cs="宋体"/>
          <w:kern w:val="0"/>
          <w:sz w:val="28"/>
          <w:szCs w:val="28"/>
        </w:rPr>
      </w:pPr>
      <w:r>
        <w:rPr>
          <w:rFonts w:hint="eastAsia" w:ascii="宋体" w:hAnsi="宋体" w:cs="宋体"/>
          <w:kern w:val="0"/>
          <w:sz w:val="28"/>
          <w:szCs w:val="28"/>
        </w:rPr>
        <w:t>5、本次估价结果是在满足全部假设与限制条件下，在价值时点时的房地产市场价格。</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cs="宋体"/>
          <w:kern w:val="0"/>
          <w:sz w:val="28"/>
          <w:szCs w:val="28"/>
        </w:rPr>
      </w:pPr>
      <w:r>
        <w:rPr>
          <w:rFonts w:hint="eastAsia" w:ascii="宋体" w:hAnsi="宋体" w:cs="宋体"/>
          <w:kern w:val="0"/>
          <w:sz w:val="28"/>
          <w:szCs w:val="28"/>
        </w:rPr>
        <w:t>6、</w:t>
      </w:r>
      <w:r>
        <w:rPr>
          <w:rFonts w:ascii="宋体" w:hAnsi="宋体" w:cs="宋体"/>
          <w:kern w:val="0"/>
          <w:sz w:val="28"/>
          <w:szCs w:val="28"/>
        </w:rPr>
        <w:t>本</w:t>
      </w:r>
      <w:r>
        <w:rPr>
          <w:rFonts w:hint="eastAsia" w:ascii="宋体" w:hAnsi="宋体" w:cs="宋体"/>
          <w:kern w:val="0"/>
          <w:sz w:val="28"/>
          <w:szCs w:val="28"/>
        </w:rPr>
        <w:t>评估报告书仅对涉案房地产价值做出参考意见，不对估价对象所有权归属及涉及相关刑事、民事纠纷等发表意见。</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cs="宋体"/>
          <w:kern w:val="0"/>
          <w:sz w:val="28"/>
          <w:szCs w:val="28"/>
        </w:rPr>
      </w:pPr>
      <w:r>
        <w:rPr>
          <w:rFonts w:hint="eastAsia" w:ascii="宋体" w:hAnsi="宋体" w:cs="宋体"/>
          <w:kern w:val="0"/>
          <w:sz w:val="28"/>
          <w:szCs w:val="28"/>
        </w:rPr>
        <w:t>7、本估价报告分为“估价结果报告”和“估价技术报告两部分”，其中“估价结果报告”提供给估价委托人，“估价技术报告”根据有关规定由估价机构存档并在上级主管部门检查时提供。</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cs="宋体"/>
          <w:kern w:val="0"/>
          <w:sz w:val="28"/>
          <w:szCs w:val="28"/>
        </w:rPr>
      </w:pPr>
      <w:r>
        <w:rPr>
          <w:rFonts w:hint="eastAsia" w:ascii="宋体" w:hAnsi="宋体" w:cs="宋体"/>
          <w:kern w:val="0"/>
          <w:sz w:val="28"/>
          <w:szCs w:val="28"/>
        </w:rPr>
        <w:t>8、根据</w:t>
      </w:r>
      <w:r>
        <w:rPr>
          <w:rFonts w:hint="eastAsia" w:ascii="宋体" w:hAnsi="宋体"/>
          <w:sz w:val="28"/>
          <w:szCs w:val="28"/>
        </w:rPr>
        <w:t>《最高人民法院关于人民法院确定财产处置参考价若干问题的规定》（法释【2018】15号）及关于印发《人民法院委托评估工作规范》的通知（法办【2018】273号）中相关规定</w:t>
      </w:r>
      <w:r>
        <w:rPr>
          <w:rFonts w:hint="eastAsia" w:ascii="宋体" w:hAnsi="宋体" w:cs="宋体"/>
          <w:kern w:val="0"/>
          <w:sz w:val="28"/>
          <w:szCs w:val="28"/>
        </w:rPr>
        <w:t>，估价委托人自收到评估报告后，应当在五日内将评估报告发送当事人及其他利害关系人；当事人或其他利害关系人对评估报告有异议的，可以在收到评估报告后五日提出书面异议。</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cs="宋体"/>
          <w:kern w:val="0"/>
          <w:sz w:val="28"/>
          <w:szCs w:val="28"/>
        </w:rPr>
      </w:pPr>
      <w:r>
        <w:rPr>
          <w:rFonts w:hint="eastAsia" w:ascii="宋体" w:hAnsi="宋体" w:cs="宋体"/>
          <w:kern w:val="0"/>
          <w:sz w:val="28"/>
          <w:szCs w:val="28"/>
        </w:rPr>
        <w:t>9、估价委托人及有关方若发现本估价报告中有打印、校对错误或其他纰漏，应及时通知本评估机构修改补正，否则，该错误或纰漏部分无效。</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cs="宋体"/>
          <w:kern w:val="0"/>
          <w:sz w:val="28"/>
          <w:szCs w:val="28"/>
        </w:rPr>
      </w:pPr>
      <w:r>
        <w:rPr>
          <w:rFonts w:hint="eastAsia" w:ascii="宋体" w:hAnsi="宋体" w:cs="宋体"/>
          <w:kern w:val="0"/>
          <w:sz w:val="28"/>
          <w:szCs w:val="28"/>
        </w:rPr>
        <w:t>10、估价委托人如违规使用本评估报告书和估价结果，由估价委托人承担一切责任，本机构不承担法律责任。</w:t>
      </w:r>
    </w:p>
    <w:p>
      <w:pPr>
        <w:pStyle w:val="8"/>
        <w:spacing w:before="0" w:after="0" w:line="500" w:lineRule="exact"/>
        <w:rPr>
          <w:rFonts w:hint="eastAsia"/>
          <w:sz w:val="44"/>
          <w:szCs w:val="44"/>
        </w:rPr>
      </w:pPr>
      <w:bookmarkStart w:id="6" w:name="_Toc27823888"/>
      <w:bookmarkStart w:id="7" w:name="_Toc61938693"/>
    </w:p>
    <w:p>
      <w:pPr>
        <w:rPr>
          <w:rFonts w:hint="eastAsia"/>
          <w:sz w:val="44"/>
          <w:szCs w:val="44"/>
        </w:rPr>
      </w:pPr>
    </w:p>
    <w:p>
      <w:pPr>
        <w:rPr>
          <w:rFonts w:hint="eastAsia"/>
          <w:sz w:val="44"/>
          <w:szCs w:val="44"/>
        </w:rPr>
      </w:pPr>
    </w:p>
    <w:p>
      <w:pPr>
        <w:rPr>
          <w:rFonts w:hint="eastAsia"/>
          <w:sz w:val="44"/>
          <w:szCs w:val="44"/>
        </w:rPr>
      </w:pPr>
    </w:p>
    <w:p>
      <w:pPr>
        <w:rPr>
          <w:rFonts w:hint="eastAsia"/>
          <w:sz w:val="44"/>
          <w:szCs w:val="44"/>
        </w:rPr>
      </w:pPr>
    </w:p>
    <w:p>
      <w:pPr>
        <w:rPr>
          <w:rFonts w:hint="eastAsia"/>
          <w:sz w:val="44"/>
          <w:szCs w:val="44"/>
        </w:rPr>
      </w:pPr>
    </w:p>
    <w:p>
      <w:pPr>
        <w:rPr>
          <w:rFonts w:hint="eastAsia"/>
          <w:sz w:val="44"/>
          <w:szCs w:val="44"/>
        </w:rPr>
      </w:pPr>
    </w:p>
    <w:p>
      <w:pPr>
        <w:rPr>
          <w:rFonts w:hint="eastAsia"/>
          <w:sz w:val="44"/>
          <w:szCs w:val="44"/>
        </w:rPr>
      </w:pPr>
    </w:p>
    <w:p>
      <w:pPr>
        <w:rPr>
          <w:rFonts w:hint="eastAsia"/>
          <w:sz w:val="44"/>
          <w:szCs w:val="44"/>
        </w:rPr>
      </w:pPr>
    </w:p>
    <w:p>
      <w:pPr>
        <w:pStyle w:val="8"/>
        <w:spacing w:before="0" w:after="0" w:line="500" w:lineRule="exact"/>
        <w:rPr>
          <w:rFonts w:hint="eastAsia"/>
          <w:sz w:val="44"/>
          <w:szCs w:val="44"/>
        </w:rPr>
      </w:pPr>
    </w:p>
    <w:p>
      <w:pPr>
        <w:pStyle w:val="8"/>
        <w:spacing w:before="0" w:after="0" w:line="500" w:lineRule="exact"/>
        <w:rPr>
          <w:rFonts w:hint="eastAsia"/>
          <w:sz w:val="44"/>
          <w:szCs w:val="44"/>
        </w:rPr>
      </w:pPr>
      <w:r>
        <w:rPr>
          <w:rFonts w:hint="eastAsia"/>
          <w:sz w:val="44"/>
          <w:szCs w:val="44"/>
        </w:rPr>
        <w:t>估价结果报告</w:t>
      </w:r>
      <w:bookmarkEnd w:id="6"/>
      <w:bookmarkEnd w:id="7"/>
    </w:p>
    <w:p>
      <w:pPr>
        <w:pStyle w:val="2"/>
        <w:pageBreakBefore w:val="0"/>
        <w:widowControl w:val="0"/>
        <w:kinsoku/>
        <w:wordWrap/>
        <w:overflowPunct/>
        <w:topLinePunct w:val="0"/>
        <w:autoSpaceDE/>
        <w:autoSpaceDN/>
        <w:bidi w:val="0"/>
        <w:adjustRightInd/>
        <w:snapToGrid/>
        <w:spacing w:before="0" w:after="0" w:line="480" w:lineRule="exact"/>
        <w:ind w:firstLine="562" w:firstLineChars="200"/>
        <w:textAlignment w:val="auto"/>
        <w:rPr>
          <w:rFonts w:hint="eastAsia"/>
          <w:sz w:val="28"/>
          <w:szCs w:val="28"/>
        </w:rPr>
      </w:pPr>
      <w:bookmarkStart w:id="8" w:name="_Toc61938694"/>
      <w:bookmarkStart w:id="9" w:name="_Toc27823889"/>
      <w:r>
        <w:rPr>
          <w:rFonts w:hint="eastAsia"/>
          <w:sz w:val="28"/>
          <w:szCs w:val="28"/>
        </w:rPr>
        <w:t>一、估价委托人：</w:t>
      </w:r>
      <w:bookmarkEnd w:id="8"/>
      <w:bookmarkEnd w:id="9"/>
    </w:p>
    <w:p>
      <w:pPr>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sz w:val="28"/>
          <w:szCs w:val="28"/>
          <w:lang w:eastAsia="zh-CN"/>
        </w:rPr>
      </w:pPr>
      <w:r>
        <w:rPr>
          <w:rFonts w:hint="eastAsia" w:ascii="宋体" w:hAnsi="宋体"/>
          <w:sz w:val="28"/>
          <w:szCs w:val="28"/>
        </w:rPr>
        <w:t>委托估价单位（人）：</w:t>
      </w:r>
      <w:r>
        <w:rPr>
          <w:rFonts w:hint="eastAsia" w:ascii="宋体" w:hAnsi="宋体"/>
          <w:sz w:val="28"/>
          <w:szCs w:val="28"/>
          <w:lang w:eastAsia="zh-CN"/>
        </w:rPr>
        <w:t>平罗县人民法院</w:t>
      </w:r>
    </w:p>
    <w:p>
      <w:pPr>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sz w:val="28"/>
          <w:szCs w:val="28"/>
          <w:lang w:eastAsia="zh-CN"/>
        </w:rPr>
      </w:pPr>
      <w:r>
        <w:rPr>
          <w:rFonts w:hint="eastAsia" w:ascii="宋体" w:hAnsi="宋体"/>
          <w:sz w:val="28"/>
          <w:szCs w:val="28"/>
        </w:rPr>
        <w:t>联系人：</w:t>
      </w:r>
      <w:r>
        <w:rPr>
          <w:rFonts w:hint="eastAsia" w:ascii="宋体" w:hAnsi="宋体"/>
          <w:sz w:val="28"/>
          <w:szCs w:val="28"/>
          <w:lang w:eastAsia="zh-CN"/>
        </w:rPr>
        <w:t>兰天</w:t>
      </w:r>
    </w:p>
    <w:p>
      <w:pPr>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宋体" w:hAnsi="宋体" w:eastAsia="宋体"/>
          <w:sz w:val="28"/>
          <w:szCs w:val="28"/>
          <w:lang w:val="en-US" w:eastAsia="zh-CN"/>
        </w:rPr>
      </w:pPr>
      <w:r>
        <w:rPr>
          <w:rFonts w:hint="eastAsia" w:ascii="宋体" w:hAnsi="宋体"/>
          <w:sz w:val="28"/>
          <w:szCs w:val="28"/>
        </w:rPr>
        <w:t>联系电话：</w:t>
      </w:r>
      <w:r>
        <w:rPr>
          <w:rFonts w:hint="eastAsia" w:ascii="宋体" w:hAnsi="宋体"/>
          <w:sz w:val="28"/>
          <w:szCs w:val="28"/>
          <w:lang w:val="en-US" w:eastAsia="zh-CN"/>
        </w:rPr>
        <w:t>19995220656</w:t>
      </w:r>
    </w:p>
    <w:p>
      <w:pPr>
        <w:pStyle w:val="2"/>
        <w:pageBreakBefore w:val="0"/>
        <w:widowControl w:val="0"/>
        <w:kinsoku/>
        <w:wordWrap/>
        <w:overflowPunct/>
        <w:topLinePunct w:val="0"/>
        <w:autoSpaceDE/>
        <w:autoSpaceDN/>
        <w:bidi w:val="0"/>
        <w:adjustRightInd/>
        <w:snapToGrid/>
        <w:spacing w:before="0" w:after="0" w:line="480" w:lineRule="exact"/>
        <w:ind w:firstLine="562" w:firstLineChars="200"/>
        <w:textAlignment w:val="auto"/>
        <w:rPr>
          <w:rFonts w:hint="eastAsia"/>
          <w:sz w:val="28"/>
          <w:szCs w:val="28"/>
        </w:rPr>
      </w:pPr>
      <w:bookmarkStart w:id="10" w:name="_Toc61938695"/>
      <w:bookmarkStart w:id="11" w:name="_Toc27823890"/>
      <w:r>
        <w:rPr>
          <w:rFonts w:hint="eastAsia"/>
          <w:sz w:val="28"/>
          <w:szCs w:val="28"/>
        </w:rPr>
        <w:t>二、房地产估价机构：</w:t>
      </w:r>
      <w:bookmarkEnd w:id="10"/>
      <w:bookmarkEnd w:id="11"/>
    </w:p>
    <w:p>
      <w:pPr>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sz w:val="28"/>
          <w:szCs w:val="28"/>
          <w:lang w:eastAsia="zh-CN"/>
        </w:rPr>
      </w:pPr>
      <w:r>
        <w:rPr>
          <w:rFonts w:hint="eastAsia" w:ascii="宋体" w:hAnsi="宋体"/>
          <w:sz w:val="28"/>
          <w:szCs w:val="28"/>
        </w:rPr>
        <w:t>机构名称：</w:t>
      </w:r>
      <w:r>
        <w:rPr>
          <w:rFonts w:hint="eastAsia" w:ascii="宋体" w:hAnsi="宋体"/>
          <w:sz w:val="28"/>
          <w:szCs w:val="28"/>
          <w:lang w:eastAsia="zh-CN"/>
        </w:rPr>
        <w:t>宁夏正达通房地产资产评估有限公司</w:t>
      </w:r>
    </w:p>
    <w:p>
      <w:pPr>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sz w:val="28"/>
          <w:szCs w:val="28"/>
        </w:rPr>
      </w:pPr>
      <w:r>
        <w:rPr>
          <w:rFonts w:hint="eastAsia"/>
          <w:sz w:val="28"/>
          <w:szCs w:val="28"/>
        </w:rPr>
        <w:t>统一社会信用代码：916940100710658747L</w:t>
      </w:r>
    </w:p>
    <w:p>
      <w:pPr>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sz w:val="28"/>
          <w:szCs w:val="28"/>
        </w:rPr>
      </w:pPr>
      <w:r>
        <w:rPr>
          <w:rFonts w:hint="eastAsia" w:ascii="宋体" w:hAnsi="宋体"/>
          <w:sz w:val="28"/>
          <w:szCs w:val="28"/>
        </w:rPr>
        <w:t>法定代表人：徐 涛</w:t>
      </w:r>
    </w:p>
    <w:p>
      <w:pPr>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sz w:val="28"/>
          <w:szCs w:val="28"/>
        </w:rPr>
      </w:pPr>
      <w:r>
        <w:rPr>
          <w:rFonts w:hint="eastAsia" w:ascii="宋体" w:hAnsi="宋体"/>
          <w:sz w:val="28"/>
          <w:szCs w:val="28"/>
        </w:rPr>
        <w:t>住    所：银川市解放东街永康北巷111号</w:t>
      </w:r>
    </w:p>
    <w:p>
      <w:pPr>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sz w:val="28"/>
          <w:szCs w:val="28"/>
        </w:rPr>
      </w:pPr>
      <w:r>
        <w:rPr>
          <w:rFonts w:hint="eastAsia" w:ascii="宋体" w:hAnsi="宋体"/>
          <w:sz w:val="28"/>
          <w:szCs w:val="28"/>
        </w:rPr>
        <w:t>联系电话：（0951）6020565</w:t>
      </w:r>
    </w:p>
    <w:p>
      <w:pPr>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sz w:val="28"/>
          <w:szCs w:val="28"/>
        </w:rPr>
      </w:pPr>
      <w:r>
        <w:rPr>
          <w:rFonts w:hint="eastAsia" w:ascii="宋体" w:hAnsi="宋体"/>
          <w:sz w:val="28"/>
          <w:szCs w:val="28"/>
        </w:rPr>
        <w:t>备案等级：贰级</w:t>
      </w:r>
    </w:p>
    <w:p>
      <w:pPr>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sz w:val="28"/>
          <w:szCs w:val="28"/>
        </w:rPr>
      </w:pPr>
      <w:r>
        <w:rPr>
          <w:rFonts w:hint="eastAsia" w:ascii="宋体" w:hAnsi="宋体"/>
          <w:sz w:val="28"/>
          <w:szCs w:val="28"/>
        </w:rPr>
        <w:t>证书编号：宁建房估证字[2007]第011号</w:t>
      </w:r>
    </w:p>
    <w:p>
      <w:pPr>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sz w:val="28"/>
          <w:szCs w:val="28"/>
        </w:rPr>
      </w:pPr>
      <w:r>
        <w:rPr>
          <w:rFonts w:hint="eastAsia" w:ascii="宋体" w:hAnsi="宋体"/>
          <w:sz w:val="28"/>
          <w:szCs w:val="28"/>
        </w:rPr>
        <w:t>有效期限：20</w:t>
      </w:r>
      <w:r>
        <w:rPr>
          <w:rFonts w:hint="eastAsia" w:ascii="宋体" w:hAnsi="宋体"/>
          <w:sz w:val="28"/>
          <w:szCs w:val="28"/>
          <w:lang w:val="en-US" w:eastAsia="zh-CN"/>
        </w:rPr>
        <w:t>20</w:t>
      </w:r>
      <w:r>
        <w:rPr>
          <w:rFonts w:hint="eastAsia" w:ascii="宋体" w:hAnsi="宋体"/>
          <w:sz w:val="28"/>
          <w:szCs w:val="28"/>
        </w:rPr>
        <w:t>年</w:t>
      </w:r>
      <w:r>
        <w:rPr>
          <w:rFonts w:hint="eastAsia" w:ascii="宋体" w:hAnsi="宋体"/>
          <w:sz w:val="28"/>
          <w:szCs w:val="28"/>
          <w:lang w:val="en-US" w:eastAsia="zh-CN"/>
        </w:rPr>
        <w:t>1</w:t>
      </w:r>
      <w:r>
        <w:rPr>
          <w:rFonts w:hint="eastAsia" w:ascii="宋体" w:hAnsi="宋体"/>
          <w:sz w:val="28"/>
          <w:szCs w:val="28"/>
        </w:rPr>
        <w:t>月21日至202</w:t>
      </w:r>
      <w:r>
        <w:rPr>
          <w:rFonts w:hint="eastAsia" w:ascii="宋体" w:hAnsi="宋体"/>
          <w:sz w:val="28"/>
          <w:szCs w:val="28"/>
          <w:lang w:val="en-US" w:eastAsia="zh-CN"/>
        </w:rPr>
        <w:t>3</w:t>
      </w:r>
      <w:r>
        <w:rPr>
          <w:rFonts w:hint="eastAsia" w:ascii="宋体" w:hAnsi="宋体"/>
          <w:sz w:val="28"/>
          <w:szCs w:val="28"/>
        </w:rPr>
        <w:t>年</w:t>
      </w:r>
      <w:r>
        <w:rPr>
          <w:rFonts w:hint="eastAsia" w:ascii="宋体" w:hAnsi="宋体"/>
          <w:sz w:val="28"/>
          <w:szCs w:val="28"/>
          <w:lang w:val="en-US" w:eastAsia="zh-CN"/>
        </w:rPr>
        <w:t>1</w:t>
      </w:r>
      <w:r>
        <w:rPr>
          <w:rFonts w:hint="eastAsia" w:ascii="宋体" w:hAnsi="宋体"/>
          <w:sz w:val="28"/>
          <w:szCs w:val="28"/>
        </w:rPr>
        <w:t>月20日</w:t>
      </w:r>
    </w:p>
    <w:p>
      <w:pPr>
        <w:pStyle w:val="2"/>
        <w:pageBreakBefore w:val="0"/>
        <w:widowControl w:val="0"/>
        <w:kinsoku/>
        <w:wordWrap/>
        <w:overflowPunct/>
        <w:topLinePunct w:val="0"/>
        <w:autoSpaceDE/>
        <w:autoSpaceDN/>
        <w:bidi w:val="0"/>
        <w:adjustRightInd/>
        <w:snapToGrid/>
        <w:spacing w:before="0" w:after="0" w:line="480" w:lineRule="exact"/>
        <w:ind w:firstLine="562" w:firstLineChars="200"/>
        <w:textAlignment w:val="auto"/>
        <w:rPr>
          <w:rFonts w:hint="eastAsia"/>
          <w:sz w:val="28"/>
          <w:szCs w:val="28"/>
        </w:rPr>
      </w:pPr>
      <w:bookmarkStart w:id="12" w:name="_Toc27823891"/>
      <w:bookmarkStart w:id="13" w:name="_Toc61938696"/>
      <w:r>
        <w:rPr>
          <w:rFonts w:hint="eastAsia"/>
          <w:sz w:val="28"/>
          <w:szCs w:val="28"/>
        </w:rPr>
        <w:t>三、估价目的：</w:t>
      </w:r>
      <w:bookmarkEnd w:id="12"/>
      <w:bookmarkEnd w:id="13"/>
    </w:p>
    <w:p>
      <w:pPr>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cs="宋体"/>
          <w:kern w:val="0"/>
          <w:sz w:val="28"/>
          <w:szCs w:val="28"/>
        </w:rPr>
      </w:pPr>
      <w:r>
        <w:rPr>
          <w:rFonts w:hint="eastAsia" w:ascii="宋体" w:hAnsi="宋体"/>
          <w:sz w:val="28"/>
          <w:szCs w:val="28"/>
        </w:rPr>
        <w:t>为人民法院确定财产处置参考价提供参考依据</w:t>
      </w:r>
      <w:r>
        <w:rPr>
          <w:rFonts w:hint="eastAsia" w:ascii="宋体" w:hAnsi="宋体" w:cs="宋体"/>
          <w:kern w:val="0"/>
          <w:sz w:val="28"/>
          <w:szCs w:val="28"/>
        </w:rPr>
        <w:t>。</w:t>
      </w:r>
    </w:p>
    <w:p>
      <w:pPr>
        <w:pStyle w:val="2"/>
        <w:pageBreakBefore w:val="0"/>
        <w:widowControl w:val="0"/>
        <w:kinsoku/>
        <w:wordWrap/>
        <w:overflowPunct/>
        <w:topLinePunct w:val="0"/>
        <w:autoSpaceDE/>
        <w:autoSpaceDN/>
        <w:bidi w:val="0"/>
        <w:adjustRightInd/>
        <w:snapToGrid/>
        <w:spacing w:before="0" w:after="0" w:line="480" w:lineRule="exact"/>
        <w:ind w:firstLine="562" w:firstLineChars="200"/>
        <w:textAlignment w:val="auto"/>
        <w:rPr>
          <w:rFonts w:hint="eastAsia"/>
          <w:sz w:val="28"/>
          <w:szCs w:val="28"/>
        </w:rPr>
      </w:pPr>
      <w:bookmarkStart w:id="14" w:name="_Toc61938697"/>
      <w:bookmarkStart w:id="15" w:name="_Toc27823892"/>
      <w:r>
        <w:rPr>
          <w:rFonts w:hint="eastAsia"/>
          <w:sz w:val="28"/>
          <w:szCs w:val="28"/>
        </w:rPr>
        <w:t>四、估价对象：</w:t>
      </w:r>
      <w:bookmarkEnd w:id="14"/>
      <w:bookmarkEnd w:id="15"/>
    </w:p>
    <w:p>
      <w:pPr>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宋体" w:hAnsi="宋体"/>
          <w:b/>
          <w:sz w:val="28"/>
          <w:szCs w:val="28"/>
        </w:rPr>
      </w:pPr>
      <w:r>
        <w:rPr>
          <w:rFonts w:hint="eastAsia" w:ascii="宋体" w:hAnsi="宋体"/>
          <w:b/>
          <w:sz w:val="28"/>
          <w:szCs w:val="28"/>
        </w:rPr>
        <w:t>㈠估价对象范围</w:t>
      </w:r>
    </w:p>
    <w:p>
      <w:pPr>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sz w:val="28"/>
          <w:szCs w:val="28"/>
        </w:rPr>
      </w:pPr>
      <w:r>
        <w:rPr>
          <w:rFonts w:hint="eastAsia" w:ascii="宋体" w:hAnsi="宋体"/>
          <w:sz w:val="28"/>
          <w:szCs w:val="28"/>
        </w:rPr>
        <w:t>估价对象为位于</w:t>
      </w:r>
      <w:r>
        <w:rPr>
          <w:rFonts w:hint="eastAsia" w:ascii="宋体" w:hAnsi="宋体"/>
          <w:sz w:val="28"/>
          <w:szCs w:val="28"/>
          <w:lang w:eastAsia="zh-CN"/>
        </w:rPr>
        <w:t>平罗县建设路北侧银北丽景13幢1单元401号(住宅）</w:t>
      </w:r>
      <w:bookmarkStart w:id="36" w:name="_GoBack"/>
      <w:bookmarkEnd w:id="36"/>
      <w:r>
        <w:rPr>
          <w:rFonts w:hint="eastAsia" w:ascii="宋体" w:hAnsi="宋体"/>
          <w:sz w:val="28"/>
          <w:szCs w:val="28"/>
        </w:rPr>
        <w:t>，建筑面积为</w:t>
      </w:r>
      <w:r>
        <w:rPr>
          <w:rFonts w:hint="eastAsia" w:ascii="宋体" w:hAnsi="宋体"/>
          <w:sz w:val="28"/>
          <w:szCs w:val="28"/>
          <w:lang w:eastAsia="zh-CN"/>
        </w:rPr>
        <w:t>121.12</w:t>
      </w:r>
      <w:r>
        <w:rPr>
          <w:rFonts w:hint="eastAsia" w:ascii="宋体" w:hAnsi="宋体"/>
          <w:sz w:val="28"/>
          <w:szCs w:val="28"/>
        </w:rPr>
        <w:t>㎡，总层数</w:t>
      </w:r>
      <w:r>
        <w:rPr>
          <w:rFonts w:hint="eastAsia" w:ascii="宋体" w:hAnsi="宋体"/>
          <w:sz w:val="28"/>
          <w:szCs w:val="28"/>
          <w:lang w:val="en-US" w:eastAsia="zh-CN"/>
        </w:rPr>
        <w:t>6</w:t>
      </w:r>
      <w:r>
        <w:rPr>
          <w:rFonts w:hint="eastAsia" w:ascii="宋体" w:hAnsi="宋体"/>
          <w:sz w:val="28"/>
          <w:szCs w:val="28"/>
        </w:rPr>
        <w:t>层，所在层为</w:t>
      </w:r>
      <w:r>
        <w:rPr>
          <w:rFonts w:hint="eastAsia" w:ascii="宋体" w:hAnsi="宋体"/>
          <w:sz w:val="28"/>
          <w:szCs w:val="28"/>
          <w:lang w:val="en-US" w:eastAsia="zh-CN"/>
        </w:rPr>
        <w:t>4</w:t>
      </w:r>
      <w:r>
        <w:rPr>
          <w:rFonts w:hint="eastAsia" w:ascii="宋体" w:hAnsi="宋体"/>
          <w:sz w:val="28"/>
          <w:szCs w:val="28"/>
        </w:rPr>
        <w:t>层</w:t>
      </w:r>
      <w:r>
        <w:rPr>
          <w:rFonts w:hint="eastAsia" w:ascii="宋体" w:hAnsi="宋体"/>
          <w:color w:val="000000"/>
          <w:sz w:val="28"/>
          <w:szCs w:val="28"/>
        </w:rPr>
        <w:t>，包括建筑物所分摊的国有建设用地使用权及室内装饰装修，未包含其可移动家具、家电及相关债权债务等。</w:t>
      </w:r>
    </w:p>
    <w:p>
      <w:pPr>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宋体" w:hAnsi="宋体"/>
          <w:b/>
          <w:sz w:val="28"/>
          <w:szCs w:val="28"/>
        </w:rPr>
      </w:pPr>
      <w:r>
        <w:rPr>
          <w:rFonts w:hint="eastAsia" w:ascii="宋体" w:hAnsi="宋体"/>
          <w:b/>
          <w:sz w:val="28"/>
          <w:szCs w:val="28"/>
        </w:rPr>
        <w:t>㈡估价对象实物状况</w:t>
      </w:r>
    </w:p>
    <w:p>
      <w:pPr>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sz w:val="28"/>
          <w:szCs w:val="28"/>
        </w:rPr>
      </w:pPr>
      <w:r>
        <w:rPr>
          <w:rFonts w:hint="eastAsia" w:ascii="宋体" w:hAnsi="宋体"/>
          <w:sz w:val="28"/>
          <w:szCs w:val="28"/>
        </w:rPr>
        <w:t>1、土地实物状况</w:t>
      </w:r>
    </w:p>
    <w:p>
      <w:pPr>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color w:val="000000"/>
          <w:sz w:val="28"/>
        </w:rPr>
      </w:pPr>
      <w:r>
        <w:rPr>
          <w:rFonts w:hint="eastAsia" w:ascii="宋体" w:hAnsi="宋体"/>
          <w:sz w:val="28"/>
        </w:rPr>
        <w:t>因估价委托人未提供估价对象</w:t>
      </w:r>
      <w:r>
        <w:rPr>
          <w:rFonts w:hint="eastAsia" w:ascii="宋体" w:hAnsi="宋体"/>
          <w:color w:val="000000"/>
          <w:sz w:val="28"/>
        </w:rPr>
        <w:t>《国有土地使用权证》，根据《</w:t>
      </w:r>
      <w:r>
        <w:rPr>
          <w:rFonts w:hint="eastAsia" w:ascii="宋体" w:hAnsi="宋体"/>
          <w:color w:val="000000"/>
          <w:sz w:val="28"/>
          <w:lang w:eastAsia="zh-CN"/>
        </w:rPr>
        <w:t>平罗县不动产登记信息查询单</w:t>
      </w:r>
      <w:r>
        <w:rPr>
          <w:rFonts w:hint="eastAsia" w:ascii="宋体" w:hAnsi="宋体"/>
          <w:color w:val="000000"/>
          <w:sz w:val="28"/>
        </w:rPr>
        <w:t>》土地状况记载估价对象</w:t>
      </w:r>
      <w:r>
        <w:rPr>
          <w:rFonts w:hint="eastAsia" w:ascii="宋体" w:hAnsi="宋体"/>
          <w:color w:val="000000"/>
          <w:sz w:val="28"/>
          <w:lang w:eastAsia="zh-CN"/>
        </w:rPr>
        <w:t>土地分摊面积</w:t>
      </w:r>
      <w:r>
        <w:rPr>
          <w:rFonts w:hint="eastAsia" w:ascii="宋体" w:hAnsi="宋体"/>
          <w:color w:val="000000"/>
          <w:sz w:val="28"/>
          <w:lang w:val="en-US" w:eastAsia="zh-CN"/>
        </w:rPr>
        <w:t>20.56</w:t>
      </w:r>
      <w:r>
        <w:rPr>
          <w:rFonts w:hint="eastAsia" w:ascii="宋体" w:hAnsi="宋体" w:eastAsia="宋体" w:cs="宋体"/>
          <w:color w:val="000000"/>
          <w:sz w:val="28"/>
          <w:lang w:val="en-US" w:eastAsia="zh-CN"/>
        </w:rPr>
        <w:t>㎡</w:t>
      </w:r>
      <w:r>
        <w:rPr>
          <w:rFonts w:hint="eastAsia" w:ascii="宋体" w:hAnsi="宋体"/>
          <w:color w:val="000000"/>
          <w:sz w:val="28"/>
          <w:lang w:val="en-US" w:eastAsia="zh-CN"/>
        </w:rPr>
        <w:t>、</w:t>
      </w:r>
      <w:r>
        <w:rPr>
          <w:rFonts w:hint="eastAsia" w:ascii="宋体" w:hAnsi="宋体"/>
          <w:color w:val="000000"/>
          <w:sz w:val="28"/>
        </w:rPr>
        <w:t>土地</w:t>
      </w:r>
      <w:r>
        <w:rPr>
          <w:rFonts w:hint="eastAsia" w:ascii="宋体" w:hAnsi="宋体"/>
          <w:color w:val="000000"/>
          <w:sz w:val="28"/>
          <w:lang w:eastAsia="zh-CN"/>
        </w:rPr>
        <w:t>终止日期</w:t>
      </w:r>
      <w:r>
        <w:rPr>
          <w:rFonts w:hint="eastAsia" w:ascii="宋体" w:hAnsi="宋体"/>
          <w:color w:val="000000"/>
          <w:sz w:val="28"/>
        </w:rPr>
        <w:t>：20</w:t>
      </w:r>
      <w:r>
        <w:rPr>
          <w:rFonts w:hint="eastAsia" w:ascii="宋体" w:hAnsi="宋体"/>
          <w:color w:val="000000"/>
          <w:sz w:val="28"/>
          <w:lang w:val="en-US" w:eastAsia="zh-CN"/>
        </w:rPr>
        <w:t>77</w:t>
      </w:r>
      <w:r>
        <w:rPr>
          <w:rFonts w:hint="eastAsia" w:ascii="宋体" w:hAnsi="宋体"/>
          <w:color w:val="000000"/>
          <w:sz w:val="28"/>
        </w:rPr>
        <w:t>年11月</w:t>
      </w:r>
      <w:r>
        <w:rPr>
          <w:rFonts w:hint="eastAsia" w:ascii="宋体" w:hAnsi="宋体"/>
          <w:color w:val="000000"/>
          <w:sz w:val="28"/>
          <w:lang w:val="en-US" w:eastAsia="zh-CN"/>
        </w:rPr>
        <w:t>2</w:t>
      </w:r>
      <w:r>
        <w:rPr>
          <w:rFonts w:hint="eastAsia" w:ascii="宋体" w:hAnsi="宋体"/>
          <w:color w:val="000000"/>
          <w:sz w:val="28"/>
        </w:rPr>
        <w:t>日、</w:t>
      </w:r>
      <w:r>
        <w:rPr>
          <w:rFonts w:hint="eastAsia" w:ascii="宋体" w:hAnsi="宋体"/>
          <w:color w:val="000000"/>
          <w:sz w:val="28"/>
          <w:lang w:eastAsia="zh-CN"/>
        </w:rPr>
        <w:t>地类用途城镇住宅用地；宗地形状</w:t>
      </w:r>
      <w:r>
        <w:rPr>
          <w:rFonts w:hint="eastAsia" w:ascii="宋体" w:hAnsi="宋体"/>
          <w:color w:val="000000"/>
          <w:sz w:val="28"/>
        </w:rPr>
        <w:t>及四至不详。</w:t>
      </w:r>
    </w:p>
    <w:p>
      <w:pPr>
        <w:spacing w:line="520" w:lineRule="exact"/>
        <w:ind w:firstLine="560" w:firstLineChars="200"/>
        <w:rPr>
          <w:rFonts w:hint="eastAsia" w:ascii="宋体" w:hAnsi="宋体"/>
          <w:sz w:val="28"/>
          <w:szCs w:val="28"/>
        </w:rPr>
      </w:pPr>
      <w:r>
        <w:rPr>
          <w:rFonts w:hint="eastAsia" w:ascii="宋体" w:hAnsi="宋体"/>
          <w:sz w:val="28"/>
        </w:rPr>
        <w:t>目前宗地地势平坦，工程地质条件较好，在利用上无地质、水文等</w:t>
      </w:r>
      <w:r>
        <w:rPr>
          <w:rFonts w:hint="eastAsia" w:ascii="宋体" w:hAnsi="宋体"/>
          <w:sz w:val="28"/>
          <w:szCs w:val="28"/>
        </w:rPr>
        <w:t>不良自然条件限制及自然灾害威胁。宗地红线外达到“七通”(通给水、通排水、通电、通讯、通路、通暖、通气)，宗地红线内达到“七通一平”。</w:t>
      </w:r>
    </w:p>
    <w:p>
      <w:pPr>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sz w:val="28"/>
          <w:szCs w:val="28"/>
        </w:rPr>
      </w:pPr>
      <w:r>
        <w:rPr>
          <w:rFonts w:hint="eastAsia" w:ascii="宋体" w:hAnsi="宋体"/>
          <w:sz w:val="28"/>
          <w:szCs w:val="28"/>
        </w:rPr>
        <w:t>2、建筑物实物状况</w:t>
      </w:r>
    </w:p>
    <w:p>
      <w:pPr>
        <w:spacing w:line="520" w:lineRule="exact"/>
        <w:ind w:firstLine="560" w:firstLineChars="200"/>
        <w:rPr>
          <w:rFonts w:hint="eastAsia" w:ascii="宋体" w:hAnsi="宋体"/>
          <w:sz w:val="28"/>
          <w:szCs w:val="28"/>
        </w:rPr>
      </w:pPr>
      <w:r>
        <w:rPr>
          <w:rFonts w:hint="eastAsia" w:ascii="宋体" w:hAnsi="宋体"/>
          <w:sz w:val="28"/>
          <w:szCs w:val="28"/>
        </w:rPr>
        <w:t>估价对象位于</w:t>
      </w:r>
      <w:r>
        <w:rPr>
          <w:rFonts w:hint="eastAsia" w:ascii="宋体" w:hAnsi="宋体"/>
          <w:sz w:val="28"/>
          <w:szCs w:val="28"/>
          <w:lang w:eastAsia="zh-CN"/>
        </w:rPr>
        <w:t>平罗县建设路北侧银北丽景13幢1单元401号</w:t>
      </w:r>
      <w:r>
        <w:rPr>
          <w:rFonts w:hint="eastAsia" w:ascii="宋体" w:hAnsi="宋体"/>
          <w:sz w:val="28"/>
          <w:szCs w:val="28"/>
        </w:rPr>
        <w:t>，主体为一幢</w:t>
      </w:r>
      <w:r>
        <w:rPr>
          <w:rFonts w:hint="eastAsia" w:ascii="宋体" w:hAnsi="宋体"/>
          <w:sz w:val="28"/>
          <w:szCs w:val="28"/>
          <w:lang w:eastAsia="zh-CN"/>
        </w:rPr>
        <w:t>六</w:t>
      </w:r>
      <w:r>
        <w:rPr>
          <w:rFonts w:hint="eastAsia" w:ascii="宋体" w:hAnsi="宋体"/>
          <w:sz w:val="28"/>
          <w:szCs w:val="28"/>
        </w:rPr>
        <w:t>层</w:t>
      </w:r>
      <w:r>
        <w:rPr>
          <w:rFonts w:hint="eastAsia" w:ascii="宋体" w:hAnsi="宋体"/>
          <w:sz w:val="28"/>
          <w:szCs w:val="28"/>
          <w:lang w:eastAsia="zh-CN"/>
        </w:rPr>
        <w:t>混合</w:t>
      </w:r>
      <w:r>
        <w:rPr>
          <w:rFonts w:hint="eastAsia" w:ascii="宋体" w:hAnsi="宋体"/>
          <w:sz w:val="28"/>
          <w:szCs w:val="28"/>
        </w:rPr>
        <w:t>结构</w:t>
      </w:r>
      <w:r>
        <w:rPr>
          <w:rFonts w:hint="eastAsia" w:ascii="宋体" w:hAnsi="宋体"/>
          <w:sz w:val="28"/>
          <w:szCs w:val="28"/>
          <w:lang w:eastAsia="zh-CN"/>
        </w:rPr>
        <w:t>建筑物</w:t>
      </w:r>
      <w:r>
        <w:rPr>
          <w:rFonts w:hint="eastAsia" w:ascii="宋体" w:hAnsi="宋体"/>
          <w:sz w:val="28"/>
          <w:szCs w:val="28"/>
        </w:rPr>
        <w:t>，于200</w:t>
      </w:r>
      <w:r>
        <w:rPr>
          <w:rFonts w:hint="eastAsia" w:ascii="宋体" w:hAnsi="宋体"/>
          <w:sz w:val="28"/>
          <w:szCs w:val="28"/>
          <w:lang w:val="en-US" w:eastAsia="zh-CN"/>
        </w:rPr>
        <w:t>9</w:t>
      </w:r>
      <w:r>
        <w:rPr>
          <w:rFonts w:hint="eastAsia" w:ascii="宋体" w:hAnsi="宋体"/>
          <w:sz w:val="28"/>
          <w:szCs w:val="28"/>
        </w:rPr>
        <w:t>年建成，</w:t>
      </w:r>
      <w:r>
        <w:rPr>
          <w:rFonts w:hint="eastAsia" w:ascii="宋体" w:hAnsi="宋体"/>
          <w:sz w:val="28"/>
          <w:szCs w:val="28"/>
          <w:lang w:eastAsia="zh-CN"/>
        </w:rPr>
        <w:t>南北</w:t>
      </w:r>
      <w:r>
        <w:rPr>
          <w:rFonts w:hint="eastAsia" w:ascii="宋体" w:hAnsi="宋体"/>
          <w:sz w:val="28"/>
          <w:szCs w:val="28"/>
        </w:rPr>
        <w:t>朝向，建筑面积为</w:t>
      </w:r>
      <w:r>
        <w:rPr>
          <w:rFonts w:hint="eastAsia" w:ascii="宋体" w:hAnsi="宋体"/>
          <w:sz w:val="28"/>
          <w:szCs w:val="28"/>
          <w:lang w:eastAsia="zh-CN"/>
        </w:rPr>
        <w:t>121.12</w:t>
      </w:r>
      <w:r>
        <w:rPr>
          <w:rFonts w:hint="eastAsia" w:ascii="宋体" w:hAnsi="宋体"/>
          <w:sz w:val="28"/>
          <w:szCs w:val="28"/>
        </w:rPr>
        <w:t>㎡，估价对象</w:t>
      </w:r>
      <w:r>
        <w:rPr>
          <w:rFonts w:hint="eastAsia" w:ascii="宋体" w:hAnsi="宋体"/>
          <w:sz w:val="28"/>
          <w:szCs w:val="28"/>
          <w:lang w:eastAsia="zh-CN"/>
        </w:rPr>
        <w:t>户型设计为三室二厅一厨一卫，</w:t>
      </w:r>
      <w:r>
        <w:rPr>
          <w:rFonts w:hint="eastAsia" w:ascii="宋体" w:hAnsi="宋体"/>
          <w:sz w:val="28"/>
          <w:szCs w:val="28"/>
        </w:rPr>
        <w:t>具体装修状况如下：外墙面贴面砖，窗户为塑钢窗、入户门安装防盗门、内门为木门；客厅地面铺瓷砖，墙面贴壁纸，顶棚石膏吊顶；卧室：地面铺瓷砖，墙面贴壁纸，顶棚刷乳胶漆及石膏线、卧室带整体衣柜；</w:t>
      </w:r>
      <w:r>
        <w:rPr>
          <w:rFonts w:hint="eastAsia" w:ascii="宋体" w:hAnsi="宋体"/>
          <w:sz w:val="28"/>
          <w:szCs w:val="28"/>
          <w:lang w:eastAsia="zh-CN"/>
        </w:rPr>
        <w:t>书房带书架、餐厅带阴台；</w:t>
      </w:r>
      <w:r>
        <w:rPr>
          <w:rFonts w:hint="eastAsia" w:ascii="宋体" w:hAnsi="宋体"/>
          <w:sz w:val="28"/>
          <w:szCs w:val="28"/>
        </w:rPr>
        <w:t>卫生间：地面铺地瓷砖，墙面贴面砖，集成吊顶，配有坐便器、洗手盆、洗浴设施；厨房：地面铺地瓷砖，墙面贴面砖，集成吊顶；建筑物所在单元配有一步行楼梯。室内水、电、暖、气、讯设施齐全，使用及维护状况良好。</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宋体" w:hAnsi="宋体"/>
          <w:b/>
          <w:sz w:val="28"/>
          <w:szCs w:val="28"/>
        </w:rPr>
      </w:pPr>
      <w:r>
        <w:rPr>
          <w:rFonts w:hint="eastAsia" w:ascii="宋体" w:hAnsi="宋体"/>
          <w:b/>
          <w:sz w:val="28"/>
          <w:szCs w:val="28"/>
        </w:rPr>
        <w:t>㈢估价对象权属状况</w:t>
      </w:r>
    </w:p>
    <w:p>
      <w:pPr>
        <w:keepNext w:val="0"/>
        <w:keepLines w:val="0"/>
        <w:pageBreakBefore w:val="0"/>
        <w:widowControl w:val="0"/>
        <w:kinsoku/>
        <w:wordWrap/>
        <w:overflowPunct/>
        <w:topLinePunct w:val="0"/>
        <w:autoSpaceDE/>
        <w:autoSpaceDN/>
        <w:bidi w:val="0"/>
        <w:adjustRightInd/>
        <w:snapToGrid/>
        <w:spacing w:line="480" w:lineRule="exact"/>
        <w:ind w:left="560"/>
        <w:textAlignment w:val="auto"/>
        <w:rPr>
          <w:rFonts w:hint="eastAsia" w:ascii="宋体" w:hAnsi="宋体"/>
          <w:sz w:val="28"/>
          <w:szCs w:val="28"/>
        </w:rPr>
      </w:pPr>
      <w:r>
        <w:rPr>
          <w:rFonts w:hint="eastAsia" w:ascii="宋体" w:hAnsi="宋体"/>
          <w:sz w:val="28"/>
          <w:szCs w:val="28"/>
        </w:rPr>
        <w:t>1、建设用地使用权状况</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color w:val="000000"/>
          <w:sz w:val="28"/>
        </w:rPr>
      </w:pPr>
      <w:r>
        <w:rPr>
          <w:rFonts w:hint="eastAsia" w:ascii="宋体" w:hAnsi="宋体"/>
          <w:sz w:val="28"/>
        </w:rPr>
        <w:t>因估价委托人未提供估价对象</w:t>
      </w:r>
      <w:r>
        <w:rPr>
          <w:rFonts w:hint="eastAsia" w:ascii="宋体" w:hAnsi="宋体"/>
          <w:color w:val="000000"/>
          <w:sz w:val="28"/>
        </w:rPr>
        <w:t>《国有土地使用权证》，根据《</w:t>
      </w:r>
      <w:r>
        <w:rPr>
          <w:rFonts w:hint="eastAsia" w:ascii="宋体" w:hAnsi="宋体"/>
          <w:color w:val="000000"/>
          <w:sz w:val="28"/>
          <w:lang w:eastAsia="zh-CN"/>
        </w:rPr>
        <w:t>平罗县不动产登记信息查询单</w:t>
      </w:r>
      <w:r>
        <w:rPr>
          <w:rFonts w:hint="eastAsia" w:ascii="宋体" w:hAnsi="宋体"/>
          <w:color w:val="000000"/>
          <w:sz w:val="28"/>
        </w:rPr>
        <w:t>》土地状况记载估价对象</w:t>
      </w:r>
      <w:r>
        <w:rPr>
          <w:rFonts w:hint="eastAsia" w:ascii="宋体" w:hAnsi="宋体"/>
          <w:color w:val="000000"/>
          <w:sz w:val="28"/>
          <w:lang w:eastAsia="zh-CN"/>
        </w:rPr>
        <w:t>土地分摊面积</w:t>
      </w:r>
      <w:r>
        <w:rPr>
          <w:rFonts w:hint="eastAsia" w:ascii="宋体" w:hAnsi="宋体"/>
          <w:color w:val="000000"/>
          <w:sz w:val="28"/>
          <w:lang w:val="en-US" w:eastAsia="zh-CN"/>
        </w:rPr>
        <w:t>20.56</w:t>
      </w:r>
      <w:r>
        <w:rPr>
          <w:rFonts w:hint="eastAsia" w:ascii="宋体" w:hAnsi="宋体" w:eastAsia="宋体" w:cs="宋体"/>
          <w:color w:val="000000"/>
          <w:sz w:val="28"/>
          <w:lang w:val="en-US" w:eastAsia="zh-CN"/>
        </w:rPr>
        <w:t>㎡</w:t>
      </w:r>
      <w:r>
        <w:rPr>
          <w:rFonts w:hint="eastAsia" w:ascii="宋体" w:hAnsi="宋体"/>
          <w:color w:val="000000"/>
          <w:sz w:val="28"/>
          <w:lang w:val="en-US" w:eastAsia="zh-CN"/>
        </w:rPr>
        <w:t>、</w:t>
      </w:r>
      <w:r>
        <w:rPr>
          <w:rFonts w:hint="eastAsia" w:ascii="宋体" w:hAnsi="宋体"/>
          <w:color w:val="000000"/>
          <w:sz w:val="28"/>
        </w:rPr>
        <w:t>土地</w:t>
      </w:r>
      <w:r>
        <w:rPr>
          <w:rFonts w:hint="eastAsia" w:ascii="宋体" w:hAnsi="宋体"/>
          <w:color w:val="000000"/>
          <w:sz w:val="28"/>
          <w:lang w:eastAsia="zh-CN"/>
        </w:rPr>
        <w:t>终止日期</w:t>
      </w:r>
      <w:r>
        <w:rPr>
          <w:rFonts w:hint="eastAsia" w:ascii="宋体" w:hAnsi="宋体"/>
          <w:color w:val="000000"/>
          <w:sz w:val="28"/>
        </w:rPr>
        <w:t>：20</w:t>
      </w:r>
      <w:r>
        <w:rPr>
          <w:rFonts w:hint="eastAsia" w:ascii="宋体" w:hAnsi="宋体"/>
          <w:color w:val="000000"/>
          <w:sz w:val="28"/>
          <w:lang w:val="en-US" w:eastAsia="zh-CN"/>
        </w:rPr>
        <w:t>77</w:t>
      </w:r>
      <w:r>
        <w:rPr>
          <w:rFonts w:hint="eastAsia" w:ascii="宋体" w:hAnsi="宋体"/>
          <w:color w:val="000000"/>
          <w:sz w:val="28"/>
        </w:rPr>
        <w:t>年11月</w:t>
      </w:r>
      <w:r>
        <w:rPr>
          <w:rFonts w:hint="eastAsia" w:ascii="宋体" w:hAnsi="宋体"/>
          <w:color w:val="000000"/>
          <w:sz w:val="28"/>
          <w:lang w:val="en-US" w:eastAsia="zh-CN"/>
        </w:rPr>
        <w:t>2</w:t>
      </w:r>
      <w:r>
        <w:rPr>
          <w:rFonts w:hint="eastAsia" w:ascii="宋体" w:hAnsi="宋体"/>
          <w:color w:val="000000"/>
          <w:sz w:val="28"/>
        </w:rPr>
        <w:t>日、</w:t>
      </w:r>
      <w:r>
        <w:rPr>
          <w:rFonts w:hint="eastAsia" w:ascii="宋体" w:hAnsi="宋体"/>
          <w:color w:val="000000"/>
          <w:sz w:val="28"/>
          <w:lang w:eastAsia="zh-CN"/>
        </w:rPr>
        <w:t>地类用途城镇住宅用地；宗地形状</w:t>
      </w:r>
      <w:r>
        <w:rPr>
          <w:rFonts w:hint="eastAsia" w:ascii="宋体" w:hAnsi="宋体"/>
          <w:color w:val="000000"/>
          <w:sz w:val="28"/>
        </w:rPr>
        <w:t>及四至不详。</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firstLine="560" w:firstLineChars="200"/>
        <w:textAlignment w:val="auto"/>
        <w:rPr>
          <w:rFonts w:hint="eastAsia" w:ascii="宋体" w:hAnsi="宋体"/>
          <w:sz w:val="28"/>
        </w:rPr>
      </w:pPr>
      <w:r>
        <w:rPr>
          <w:rFonts w:hint="eastAsia" w:ascii="宋体" w:hAnsi="宋体"/>
          <w:sz w:val="28"/>
        </w:rPr>
        <w:t>房屋所有权状况</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150"/>
        <w:textAlignment w:val="auto"/>
        <w:rPr>
          <w:rFonts w:hint="eastAsia" w:ascii="宋体" w:hAnsi="宋体"/>
          <w:sz w:val="28"/>
        </w:rPr>
      </w:pPr>
      <w:r>
        <w:rPr>
          <w:rFonts w:hint="eastAsia" w:ascii="宋体" w:hAnsi="宋体"/>
          <w:sz w:val="28"/>
        </w:rPr>
        <w:t>根据</w:t>
      </w:r>
      <w:r>
        <w:rPr>
          <w:rFonts w:hint="eastAsia" w:ascii="宋体" w:hAnsi="宋体"/>
          <w:color w:val="000000"/>
          <w:sz w:val="28"/>
        </w:rPr>
        <w:t>估价委托人提供的</w:t>
      </w:r>
      <w:r>
        <w:rPr>
          <w:rFonts w:hint="eastAsia" w:ascii="宋体" w:hAnsi="宋体"/>
          <w:sz w:val="28"/>
        </w:rPr>
        <w:t>估价对象</w:t>
      </w:r>
      <w:r>
        <w:rPr>
          <w:rFonts w:hint="eastAsia" w:ascii="宋体" w:hAnsi="宋体"/>
          <w:color w:val="000000"/>
          <w:sz w:val="28"/>
        </w:rPr>
        <w:t>《房屋所有权证》、《</w:t>
      </w:r>
      <w:r>
        <w:rPr>
          <w:rFonts w:hint="eastAsia" w:ascii="宋体" w:hAnsi="宋体"/>
          <w:color w:val="000000"/>
          <w:sz w:val="28"/>
          <w:lang w:eastAsia="zh-CN"/>
        </w:rPr>
        <w:t>平罗县</w:t>
      </w:r>
      <w:r>
        <w:rPr>
          <w:rFonts w:hint="eastAsia" w:ascii="宋体" w:hAnsi="宋体"/>
          <w:color w:val="000000"/>
          <w:sz w:val="28"/>
        </w:rPr>
        <w:t>不动产登记信息》记载</w:t>
      </w:r>
      <w:r>
        <w:rPr>
          <w:rFonts w:hint="eastAsia" w:ascii="宋体" w:hAnsi="宋体"/>
          <w:sz w:val="28"/>
        </w:rPr>
        <w:t>如下：</w:t>
      </w:r>
    </w:p>
    <w:tbl>
      <w:tblPr>
        <w:tblStyle w:val="9"/>
        <w:tblW w:w="96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905"/>
        <w:gridCol w:w="595"/>
        <w:gridCol w:w="840"/>
        <w:gridCol w:w="690"/>
        <w:gridCol w:w="1035"/>
        <w:gridCol w:w="750"/>
        <w:gridCol w:w="1080"/>
        <w:gridCol w:w="3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jc w:val="center"/>
        </w:trPr>
        <w:tc>
          <w:tcPr>
            <w:tcW w:w="1605" w:type="dxa"/>
            <w:gridSpan w:val="2"/>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sz w:val="18"/>
                <w:szCs w:val="18"/>
                <w:lang w:eastAsia="zh-CN"/>
              </w:rPr>
            </w:pPr>
            <w:r>
              <w:rPr>
                <w:rFonts w:hint="eastAsia" w:ascii="宋体" w:hAnsi="宋体"/>
                <w:sz w:val="18"/>
                <w:szCs w:val="18"/>
                <w:lang w:eastAsia="zh-CN"/>
              </w:rPr>
              <w:t>房屋所有权人</w:t>
            </w:r>
          </w:p>
        </w:tc>
        <w:tc>
          <w:tcPr>
            <w:tcW w:w="8089" w:type="dxa"/>
            <w:gridSpan w:val="7"/>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kern w:val="2"/>
                <w:sz w:val="18"/>
                <w:szCs w:val="18"/>
                <w:lang w:val="en-US" w:eastAsia="zh-CN" w:bidi="ar-SA"/>
              </w:rPr>
            </w:pPr>
            <w:r>
              <w:rPr>
                <w:rFonts w:hint="eastAsia" w:ascii="宋体" w:hAnsi="宋体"/>
                <w:sz w:val="18"/>
                <w:szCs w:val="18"/>
                <w:lang w:eastAsia="zh-CN"/>
              </w:rPr>
              <w:t>马占东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jc w:val="center"/>
        </w:trPr>
        <w:tc>
          <w:tcPr>
            <w:tcW w:w="1605" w:type="dxa"/>
            <w:gridSpan w:val="2"/>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sz w:val="18"/>
                <w:szCs w:val="18"/>
                <w:lang w:eastAsia="zh-CN"/>
              </w:rPr>
            </w:pPr>
            <w:r>
              <w:rPr>
                <w:rFonts w:hint="eastAsia" w:ascii="宋体" w:hAnsi="宋体"/>
                <w:sz w:val="18"/>
                <w:szCs w:val="18"/>
                <w:lang w:eastAsia="zh-CN"/>
              </w:rPr>
              <w:t>共有情况</w:t>
            </w:r>
          </w:p>
        </w:tc>
        <w:tc>
          <w:tcPr>
            <w:tcW w:w="8089" w:type="dxa"/>
            <w:gridSpan w:val="7"/>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kern w:val="2"/>
                <w:sz w:val="18"/>
                <w:szCs w:val="18"/>
                <w:lang w:val="en-US" w:eastAsia="zh-CN" w:bidi="ar-SA"/>
              </w:rPr>
            </w:pPr>
            <w:r>
              <w:rPr>
                <w:rFonts w:hint="eastAsia" w:ascii="宋体" w:hAnsi="宋体"/>
                <w:sz w:val="18"/>
                <w:szCs w:val="18"/>
                <w:lang w:eastAsia="zh-CN"/>
              </w:rPr>
              <w:t>王</w:t>
            </w:r>
            <w:r>
              <w:rPr>
                <w:rFonts w:hint="eastAsia" w:ascii="宋体" w:hAnsi="宋体"/>
                <w:sz w:val="18"/>
                <w:szCs w:val="18"/>
                <w:lang w:val="en-US" w:eastAsia="zh-CN"/>
              </w:rPr>
              <w:t xml:space="preserve">  </w:t>
            </w:r>
            <w:r>
              <w:rPr>
                <w:rFonts w:hint="eastAsia" w:ascii="宋体" w:hAnsi="宋体"/>
                <w:sz w:val="18"/>
                <w:szCs w:val="18"/>
                <w:lang w:eastAsia="zh-CN"/>
              </w:rPr>
              <w:t>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jc w:val="center"/>
        </w:trPr>
        <w:tc>
          <w:tcPr>
            <w:tcW w:w="1605" w:type="dxa"/>
            <w:gridSpan w:val="2"/>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sz w:val="18"/>
                <w:szCs w:val="18"/>
                <w:lang w:eastAsia="zh-CN"/>
              </w:rPr>
            </w:pPr>
            <w:r>
              <w:rPr>
                <w:rFonts w:hint="eastAsia" w:ascii="宋体" w:hAnsi="宋体"/>
                <w:sz w:val="18"/>
                <w:szCs w:val="18"/>
                <w:lang w:eastAsia="zh-CN"/>
              </w:rPr>
              <w:t>房屋坐落</w:t>
            </w:r>
          </w:p>
        </w:tc>
        <w:tc>
          <w:tcPr>
            <w:tcW w:w="8089" w:type="dxa"/>
            <w:gridSpan w:val="7"/>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kern w:val="2"/>
                <w:sz w:val="18"/>
                <w:szCs w:val="18"/>
                <w:lang w:val="en-US" w:eastAsia="zh-CN" w:bidi="ar-SA"/>
              </w:rPr>
            </w:pPr>
            <w:r>
              <w:rPr>
                <w:rFonts w:hint="eastAsia" w:ascii="宋体" w:hAnsi="宋体"/>
                <w:sz w:val="18"/>
                <w:szCs w:val="18"/>
                <w:lang w:eastAsia="zh-CN"/>
              </w:rPr>
              <w:t>平罗县建设路北侧银北丽景小区</w:t>
            </w:r>
            <w:r>
              <w:rPr>
                <w:rFonts w:hint="eastAsia" w:ascii="宋体" w:hAnsi="宋体"/>
                <w:sz w:val="18"/>
                <w:szCs w:val="18"/>
                <w:lang w:val="en-US" w:eastAsia="zh-CN"/>
              </w:rPr>
              <w:t>13-1-401号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jc w:val="center"/>
        </w:trPr>
        <w:tc>
          <w:tcPr>
            <w:tcW w:w="1605" w:type="dxa"/>
            <w:gridSpan w:val="2"/>
            <w:noWrap w:val="0"/>
            <w:vAlign w:val="center"/>
          </w:tcPr>
          <w:p>
            <w:pPr>
              <w:keepNext w:val="0"/>
              <w:keepLines w:val="0"/>
              <w:pageBreakBefore w:val="0"/>
              <w:kinsoku/>
              <w:wordWrap/>
              <w:overflowPunct/>
              <w:topLinePunct w:val="0"/>
              <w:autoSpaceDE/>
              <w:autoSpaceDN/>
              <w:bidi w:val="0"/>
              <w:adjustRightInd/>
              <w:snapToGrid/>
              <w:spacing w:line="300" w:lineRule="exact"/>
              <w:ind w:firstLine="90" w:firstLineChars="50"/>
              <w:jc w:val="center"/>
              <w:textAlignment w:val="auto"/>
              <w:rPr>
                <w:rFonts w:hint="eastAsia" w:ascii="宋体" w:hAnsi="宋体" w:eastAsia="宋体"/>
                <w:sz w:val="18"/>
                <w:szCs w:val="18"/>
                <w:lang w:eastAsia="zh-CN"/>
              </w:rPr>
            </w:pPr>
            <w:r>
              <w:rPr>
                <w:rFonts w:hint="eastAsia" w:ascii="宋体" w:hAnsi="宋体"/>
                <w:sz w:val="18"/>
                <w:szCs w:val="18"/>
                <w:lang w:eastAsia="zh-CN"/>
              </w:rPr>
              <w:t>产权证号</w:t>
            </w:r>
          </w:p>
        </w:tc>
        <w:tc>
          <w:tcPr>
            <w:tcW w:w="8089" w:type="dxa"/>
            <w:gridSpan w:val="7"/>
            <w:noWrap w:val="0"/>
            <w:vAlign w:val="center"/>
          </w:tcPr>
          <w:p>
            <w:pPr>
              <w:keepNext w:val="0"/>
              <w:keepLines w:val="0"/>
              <w:pageBreakBefore w:val="0"/>
              <w:kinsoku/>
              <w:wordWrap/>
              <w:overflowPunct/>
              <w:topLinePunct w:val="0"/>
              <w:autoSpaceDE/>
              <w:autoSpaceDN/>
              <w:bidi w:val="0"/>
              <w:adjustRightInd/>
              <w:snapToGrid/>
              <w:spacing w:line="300" w:lineRule="exact"/>
              <w:ind w:firstLine="90" w:firstLineChars="50"/>
              <w:jc w:val="center"/>
              <w:textAlignment w:val="auto"/>
              <w:rPr>
                <w:rFonts w:hint="eastAsia" w:ascii="宋体" w:hAnsi="宋体"/>
                <w:sz w:val="18"/>
                <w:szCs w:val="18"/>
              </w:rPr>
            </w:pPr>
            <w:r>
              <w:rPr>
                <w:rFonts w:hint="eastAsia" w:ascii="宋体" w:hAnsi="宋体"/>
                <w:sz w:val="18"/>
                <w:szCs w:val="18"/>
              </w:rPr>
              <w:t>房权证</w:t>
            </w:r>
            <w:r>
              <w:rPr>
                <w:rFonts w:hint="eastAsia" w:ascii="宋体" w:hAnsi="宋体"/>
                <w:sz w:val="18"/>
                <w:szCs w:val="18"/>
                <w:lang w:eastAsia="zh-CN"/>
              </w:rPr>
              <w:t>平</w:t>
            </w:r>
            <w:r>
              <w:rPr>
                <w:rFonts w:hint="eastAsia" w:ascii="宋体" w:hAnsi="宋体"/>
                <w:sz w:val="18"/>
                <w:szCs w:val="18"/>
              </w:rPr>
              <w:t>字第</w:t>
            </w:r>
            <w:r>
              <w:rPr>
                <w:rFonts w:hint="eastAsia" w:ascii="宋体" w:hAnsi="宋体"/>
                <w:sz w:val="18"/>
                <w:szCs w:val="18"/>
                <w:lang w:val="en-US" w:eastAsia="zh-CN"/>
              </w:rPr>
              <w:t>2011-35828</w:t>
            </w:r>
            <w:r>
              <w:rPr>
                <w:rFonts w:hint="eastAsia" w:ascii="宋体" w:hAnsi="宋体"/>
                <w:sz w:val="18"/>
                <w:szCs w:val="18"/>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jc w:val="center"/>
        </w:trPr>
        <w:tc>
          <w:tcPr>
            <w:tcW w:w="700" w:type="dxa"/>
            <w:vMerge w:val="restart"/>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sz w:val="18"/>
                <w:szCs w:val="18"/>
              </w:rPr>
            </w:pPr>
            <w:r>
              <w:rPr>
                <w:rFonts w:hint="eastAsia" w:ascii="宋体" w:hAnsi="宋体"/>
                <w:sz w:val="18"/>
                <w:szCs w:val="18"/>
              </w:rPr>
              <w:t>房屋</w:t>
            </w:r>
          </w:p>
          <w:p>
            <w:pPr>
              <w:keepNext w:val="0"/>
              <w:keepLines w:val="0"/>
              <w:pageBreakBefore w:val="0"/>
              <w:kinsoku/>
              <w:wordWrap/>
              <w:overflowPunct/>
              <w:topLinePunct w:val="0"/>
              <w:autoSpaceDE/>
              <w:autoSpaceDN/>
              <w:bidi w:val="0"/>
              <w:adjustRightInd/>
              <w:snapToGrid/>
              <w:spacing w:line="300" w:lineRule="exact"/>
              <w:ind w:firstLine="18" w:firstLineChars="10"/>
              <w:jc w:val="center"/>
              <w:textAlignment w:val="auto"/>
              <w:rPr>
                <w:rFonts w:ascii="宋体"/>
                <w:sz w:val="18"/>
                <w:szCs w:val="18"/>
              </w:rPr>
            </w:pPr>
            <w:r>
              <w:rPr>
                <w:rFonts w:hint="eastAsia" w:ascii="宋体" w:hAnsi="宋体"/>
                <w:sz w:val="18"/>
                <w:szCs w:val="18"/>
              </w:rPr>
              <w:t>状况</w:t>
            </w:r>
          </w:p>
        </w:tc>
        <w:tc>
          <w:tcPr>
            <w:tcW w:w="905" w:type="dxa"/>
            <w:noWrap w:val="0"/>
            <w:vAlign w:val="center"/>
          </w:tcPr>
          <w:p>
            <w:pPr>
              <w:keepNext w:val="0"/>
              <w:keepLines w:val="0"/>
              <w:pageBreakBefore w:val="0"/>
              <w:kinsoku/>
              <w:wordWrap/>
              <w:overflowPunct/>
              <w:topLinePunct w:val="0"/>
              <w:autoSpaceDE/>
              <w:autoSpaceDN/>
              <w:bidi w:val="0"/>
              <w:adjustRightInd/>
              <w:snapToGrid/>
              <w:spacing w:line="300" w:lineRule="exact"/>
              <w:ind w:firstLine="18" w:firstLineChars="10"/>
              <w:jc w:val="center"/>
              <w:textAlignment w:val="auto"/>
              <w:rPr>
                <w:rFonts w:hint="eastAsia" w:ascii="宋体" w:eastAsia="宋体"/>
                <w:sz w:val="18"/>
                <w:szCs w:val="18"/>
                <w:lang w:eastAsia="zh-CN"/>
              </w:rPr>
            </w:pPr>
            <w:r>
              <w:rPr>
                <w:rFonts w:hint="eastAsia" w:ascii="宋体" w:hAnsi="宋体"/>
                <w:sz w:val="18"/>
                <w:szCs w:val="18"/>
                <w:lang w:eastAsia="zh-CN"/>
              </w:rPr>
              <w:t>房屋编码</w:t>
            </w:r>
          </w:p>
        </w:tc>
        <w:tc>
          <w:tcPr>
            <w:tcW w:w="595"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sz w:val="18"/>
                <w:szCs w:val="18"/>
              </w:rPr>
            </w:pPr>
            <w:r>
              <w:rPr>
                <w:rFonts w:hint="eastAsia" w:ascii="宋体" w:hAnsi="宋体"/>
                <w:sz w:val="18"/>
                <w:szCs w:val="18"/>
              </w:rPr>
              <w:t>结构</w:t>
            </w:r>
          </w:p>
        </w:tc>
        <w:tc>
          <w:tcPr>
            <w:tcW w:w="84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sz w:val="18"/>
                <w:szCs w:val="18"/>
              </w:rPr>
            </w:pPr>
            <w:r>
              <w:rPr>
                <w:rFonts w:hint="eastAsia" w:ascii="宋体" w:hAnsi="宋体"/>
                <w:sz w:val="18"/>
                <w:szCs w:val="18"/>
              </w:rPr>
              <w:t>房屋总</w:t>
            </w:r>
          </w:p>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sz w:val="18"/>
                <w:szCs w:val="18"/>
              </w:rPr>
            </w:pPr>
            <w:r>
              <w:rPr>
                <w:rFonts w:hint="eastAsia" w:ascii="宋体" w:hAnsi="宋体"/>
                <w:sz w:val="18"/>
                <w:szCs w:val="18"/>
              </w:rPr>
              <w:t>层数</w:t>
            </w:r>
          </w:p>
        </w:tc>
        <w:tc>
          <w:tcPr>
            <w:tcW w:w="69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sz w:val="18"/>
                <w:szCs w:val="18"/>
              </w:rPr>
            </w:pPr>
            <w:r>
              <w:rPr>
                <w:rFonts w:hint="eastAsia" w:ascii="宋体" w:hAnsi="宋体"/>
                <w:sz w:val="18"/>
                <w:szCs w:val="18"/>
              </w:rPr>
              <w:t>所在层数</w:t>
            </w:r>
          </w:p>
        </w:tc>
        <w:tc>
          <w:tcPr>
            <w:tcW w:w="1035"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sz w:val="18"/>
                <w:szCs w:val="18"/>
              </w:rPr>
            </w:pPr>
            <w:r>
              <w:rPr>
                <w:rFonts w:hint="eastAsia" w:ascii="宋体" w:hAnsi="宋体"/>
                <w:sz w:val="18"/>
                <w:szCs w:val="18"/>
              </w:rPr>
              <w:t>建筑面积</w:t>
            </w:r>
          </w:p>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sz w:val="18"/>
                <w:szCs w:val="18"/>
              </w:rPr>
            </w:pPr>
            <w:r>
              <w:rPr>
                <w:rFonts w:hint="eastAsia" w:ascii="宋体" w:hAnsi="宋体"/>
                <w:sz w:val="18"/>
                <w:szCs w:val="18"/>
              </w:rPr>
              <w:t>（平方米）</w:t>
            </w:r>
          </w:p>
        </w:tc>
        <w:tc>
          <w:tcPr>
            <w:tcW w:w="75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sz w:val="18"/>
                <w:szCs w:val="18"/>
              </w:rPr>
            </w:pPr>
            <w:r>
              <w:rPr>
                <w:rFonts w:hint="eastAsia" w:ascii="宋体" w:hAnsi="宋体"/>
                <w:sz w:val="18"/>
                <w:szCs w:val="18"/>
              </w:rPr>
              <w:t>设计用途</w:t>
            </w:r>
          </w:p>
        </w:tc>
        <w:tc>
          <w:tcPr>
            <w:tcW w:w="108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eastAsia="宋体"/>
                <w:sz w:val="18"/>
                <w:szCs w:val="18"/>
                <w:lang w:eastAsia="zh-CN"/>
              </w:rPr>
            </w:pPr>
            <w:r>
              <w:rPr>
                <w:rFonts w:hint="eastAsia" w:ascii="宋体" w:hAnsi="宋体"/>
                <w:sz w:val="18"/>
                <w:szCs w:val="18"/>
                <w:lang w:eastAsia="zh-CN"/>
              </w:rPr>
              <w:t>竣工年代</w:t>
            </w:r>
          </w:p>
        </w:tc>
        <w:tc>
          <w:tcPr>
            <w:tcW w:w="3099"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eastAsia="宋体"/>
                <w:sz w:val="18"/>
                <w:szCs w:val="18"/>
                <w:lang w:eastAsia="zh-CN"/>
              </w:rPr>
            </w:pPr>
            <w:r>
              <w:rPr>
                <w:rFonts w:hint="eastAsia" w:ascii="宋体" w:hAnsi="宋体"/>
                <w:sz w:val="18"/>
                <w:szCs w:val="18"/>
                <w:lang w:eastAsia="zh-CN"/>
              </w:rPr>
              <w:t>附记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jc w:val="center"/>
        </w:trPr>
        <w:tc>
          <w:tcPr>
            <w:tcW w:w="700"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sz w:val="18"/>
                <w:szCs w:val="18"/>
              </w:rPr>
            </w:pPr>
          </w:p>
        </w:tc>
        <w:tc>
          <w:tcPr>
            <w:tcW w:w="905" w:type="dxa"/>
            <w:noWrap w:val="0"/>
            <w:vAlign w:val="center"/>
          </w:tcPr>
          <w:p>
            <w:pPr>
              <w:keepNext w:val="0"/>
              <w:keepLines w:val="0"/>
              <w:pageBreakBefore w:val="0"/>
              <w:kinsoku/>
              <w:wordWrap/>
              <w:overflowPunct/>
              <w:topLinePunct w:val="0"/>
              <w:autoSpaceDE/>
              <w:autoSpaceDN/>
              <w:bidi w:val="0"/>
              <w:adjustRightInd/>
              <w:snapToGrid/>
              <w:spacing w:line="300" w:lineRule="exact"/>
              <w:ind w:firstLine="90" w:firstLineChars="50"/>
              <w:textAlignment w:val="auto"/>
              <w:rPr>
                <w:rFonts w:hint="default" w:ascii="宋体" w:eastAsia="宋体"/>
                <w:sz w:val="18"/>
                <w:szCs w:val="18"/>
                <w:lang w:val="en-US" w:eastAsia="zh-CN"/>
              </w:rPr>
            </w:pPr>
            <w:r>
              <w:rPr>
                <w:rFonts w:hint="eastAsia" w:ascii="宋体"/>
                <w:sz w:val="18"/>
                <w:szCs w:val="18"/>
              </w:rPr>
              <w:t>2</w:t>
            </w:r>
            <w:r>
              <w:rPr>
                <w:rFonts w:hint="eastAsia" w:ascii="宋体"/>
                <w:sz w:val="18"/>
                <w:szCs w:val="18"/>
                <w:lang w:val="en-US" w:eastAsia="zh-CN"/>
              </w:rPr>
              <w:t>1450</w:t>
            </w:r>
          </w:p>
        </w:tc>
        <w:tc>
          <w:tcPr>
            <w:tcW w:w="595"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sz w:val="18"/>
                <w:szCs w:val="18"/>
              </w:rPr>
            </w:pPr>
            <w:r>
              <w:rPr>
                <w:rFonts w:hint="eastAsia" w:ascii="宋体" w:hAnsi="宋体"/>
                <w:sz w:val="18"/>
                <w:szCs w:val="18"/>
              </w:rPr>
              <w:t>混合</w:t>
            </w:r>
          </w:p>
        </w:tc>
        <w:tc>
          <w:tcPr>
            <w:tcW w:w="840" w:type="dxa"/>
            <w:noWrap w:val="0"/>
            <w:vAlign w:val="center"/>
          </w:tcPr>
          <w:p>
            <w:pPr>
              <w:keepNext w:val="0"/>
              <w:keepLines w:val="0"/>
              <w:pageBreakBefore w:val="0"/>
              <w:kinsoku/>
              <w:wordWrap/>
              <w:overflowPunct/>
              <w:topLinePunct w:val="0"/>
              <w:autoSpaceDE/>
              <w:autoSpaceDN/>
              <w:bidi w:val="0"/>
              <w:adjustRightInd/>
              <w:snapToGrid/>
              <w:spacing w:line="300" w:lineRule="exact"/>
              <w:ind w:firstLine="400"/>
              <w:textAlignment w:val="auto"/>
              <w:rPr>
                <w:rFonts w:hint="eastAsia" w:ascii="宋体" w:eastAsia="宋体"/>
                <w:sz w:val="18"/>
                <w:szCs w:val="18"/>
                <w:lang w:eastAsia="zh-CN"/>
              </w:rPr>
            </w:pPr>
            <w:r>
              <w:rPr>
                <w:rFonts w:hint="eastAsia" w:ascii="宋体" w:hAnsi="宋体"/>
                <w:sz w:val="18"/>
                <w:szCs w:val="18"/>
                <w:lang w:val="en-US" w:eastAsia="zh-CN"/>
              </w:rPr>
              <w:t>6</w:t>
            </w:r>
          </w:p>
        </w:tc>
        <w:tc>
          <w:tcPr>
            <w:tcW w:w="69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sz w:val="18"/>
                <w:szCs w:val="18"/>
              </w:rPr>
            </w:pPr>
            <w:r>
              <w:rPr>
                <w:rFonts w:hint="eastAsia" w:ascii="宋体" w:hAnsi="宋体"/>
                <w:sz w:val="18"/>
                <w:szCs w:val="18"/>
              </w:rPr>
              <w:t>4</w:t>
            </w:r>
          </w:p>
        </w:tc>
        <w:tc>
          <w:tcPr>
            <w:tcW w:w="1035"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宋体" w:eastAsia="宋体"/>
                <w:sz w:val="18"/>
                <w:szCs w:val="18"/>
                <w:lang w:val="en-US" w:eastAsia="zh-CN"/>
              </w:rPr>
            </w:pPr>
            <w:r>
              <w:rPr>
                <w:rFonts w:hint="eastAsia" w:ascii="宋体" w:hAnsi="宋体"/>
                <w:sz w:val="18"/>
                <w:szCs w:val="18"/>
                <w:lang w:val="en-US" w:eastAsia="zh-CN"/>
              </w:rPr>
              <w:t>121.12</w:t>
            </w:r>
          </w:p>
        </w:tc>
        <w:tc>
          <w:tcPr>
            <w:tcW w:w="75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sz w:val="18"/>
                <w:szCs w:val="18"/>
              </w:rPr>
            </w:pPr>
            <w:r>
              <w:rPr>
                <w:rFonts w:hint="eastAsia" w:ascii="宋体" w:hAnsi="宋体"/>
                <w:sz w:val="18"/>
                <w:szCs w:val="18"/>
              </w:rPr>
              <w:t>住宅</w:t>
            </w:r>
          </w:p>
        </w:tc>
        <w:tc>
          <w:tcPr>
            <w:tcW w:w="108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宋体" w:hAnsi="宋体" w:eastAsia="宋体"/>
                <w:sz w:val="18"/>
                <w:szCs w:val="18"/>
                <w:lang w:val="en-US" w:eastAsia="zh-CN"/>
              </w:rPr>
            </w:pPr>
            <w:r>
              <w:rPr>
                <w:rFonts w:hint="eastAsia" w:ascii="宋体" w:hAnsi="宋体"/>
                <w:sz w:val="18"/>
                <w:szCs w:val="18"/>
                <w:lang w:val="en-US" w:eastAsia="zh-CN"/>
              </w:rPr>
              <w:t>2009</w:t>
            </w:r>
          </w:p>
        </w:tc>
        <w:tc>
          <w:tcPr>
            <w:tcW w:w="3099"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宋体" w:hAnsi="宋体" w:eastAsia="宋体"/>
                <w:sz w:val="18"/>
                <w:szCs w:val="18"/>
                <w:lang w:val="en-US" w:eastAsia="zh-CN"/>
              </w:rPr>
            </w:pPr>
            <w:r>
              <w:rPr>
                <w:rFonts w:hint="eastAsia" w:ascii="宋体" w:hAnsi="宋体"/>
                <w:sz w:val="18"/>
                <w:szCs w:val="18"/>
                <w:lang w:eastAsia="zh-CN"/>
              </w:rPr>
              <w:t>业务编号：</w:t>
            </w:r>
            <w:r>
              <w:rPr>
                <w:rFonts w:hint="eastAsia" w:ascii="宋体" w:hAnsi="宋体"/>
                <w:sz w:val="18"/>
                <w:szCs w:val="18"/>
                <w:lang w:val="en-US" w:eastAsia="zh-CN"/>
              </w:rPr>
              <w:t>201409090255共有权人房屋所有权证号共有份额王晶  平房权证平罗县字第1015292号共同共有</w:t>
            </w:r>
          </w:p>
        </w:tc>
      </w:tr>
    </w:tbl>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sz w:val="28"/>
          <w:szCs w:val="28"/>
        </w:rPr>
      </w:pPr>
      <w:r>
        <w:rPr>
          <w:rFonts w:hint="eastAsia" w:ascii="宋体" w:hAnsi="宋体"/>
          <w:sz w:val="28"/>
          <w:lang w:val="en-US" w:eastAsia="zh-CN"/>
        </w:rPr>
        <w:t>3</w:t>
      </w:r>
      <w:r>
        <w:rPr>
          <w:rFonts w:hint="eastAsia" w:ascii="宋体" w:hAnsi="宋体"/>
          <w:sz w:val="28"/>
        </w:rPr>
        <w:t>、</w:t>
      </w:r>
      <w:r>
        <w:rPr>
          <w:rFonts w:hint="eastAsia" w:ascii="宋体" w:hAnsi="宋体"/>
          <w:sz w:val="28"/>
          <w:szCs w:val="28"/>
        </w:rPr>
        <w:t>估价对象使用限制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sz w:val="28"/>
          <w:szCs w:val="28"/>
        </w:rPr>
      </w:pPr>
      <w:r>
        <w:rPr>
          <w:rFonts w:hint="eastAsia" w:ascii="宋体" w:hAnsi="宋体"/>
          <w:sz w:val="28"/>
          <w:szCs w:val="28"/>
        </w:rPr>
        <w:t>估价对象房屋现状用途为</w:t>
      </w:r>
      <w:r>
        <w:rPr>
          <w:rFonts w:hint="eastAsia" w:ascii="宋体" w:hAnsi="宋体"/>
          <w:sz w:val="28"/>
          <w:szCs w:val="28"/>
          <w:lang w:eastAsia="zh-CN"/>
        </w:rPr>
        <w:t>住宅</w:t>
      </w:r>
      <w:r>
        <w:rPr>
          <w:rFonts w:hint="eastAsia" w:ascii="宋体" w:hAnsi="宋体"/>
          <w:sz w:val="28"/>
          <w:szCs w:val="28"/>
        </w:rPr>
        <w:t>，无其他管制条件限制。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sz w:val="28"/>
          <w:szCs w:val="28"/>
        </w:rPr>
      </w:pPr>
      <w:r>
        <w:rPr>
          <w:rFonts w:hint="eastAsia" w:ascii="宋体" w:hAnsi="宋体"/>
          <w:sz w:val="28"/>
          <w:szCs w:val="28"/>
          <w:lang w:val="en-US" w:eastAsia="zh-CN"/>
        </w:rPr>
        <w:t>4</w:t>
      </w:r>
      <w:r>
        <w:rPr>
          <w:rFonts w:hint="eastAsia" w:ascii="宋体" w:hAnsi="宋体"/>
          <w:sz w:val="28"/>
          <w:szCs w:val="28"/>
        </w:rPr>
        <w:t>、相邻关系的限制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sz w:val="28"/>
          <w:szCs w:val="28"/>
        </w:rPr>
      </w:pPr>
      <w:r>
        <w:rPr>
          <w:rFonts w:hint="eastAsia" w:ascii="宋体" w:hAnsi="宋体"/>
          <w:sz w:val="28"/>
          <w:szCs w:val="28"/>
        </w:rPr>
        <w:t>估价对象与周围建筑物及道路之间距离符合规划及正常使用要求，无不利影响，无在相邻关系的限制。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sz w:val="28"/>
          <w:lang w:eastAsia="zh-CN"/>
        </w:rPr>
      </w:pPr>
      <w:r>
        <w:rPr>
          <w:rFonts w:hint="eastAsia" w:ascii="宋体" w:hAnsi="宋体"/>
          <w:sz w:val="28"/>
          <w:lang w:val="en-US" w:eastAsia="zh-CN"/>
        </w:rPr>
        <w:t>5</w:t>
      </w:r>
      <w:r>
        <w:rPr>
          <w:rFonts w:hint="eastAsia" w:ascii="宋体" w:hAnsi="宋体"/>
          <w:sz w:val="28"/>
        </w:rPr>
        <w:t>、估价对象</w:t>
      </w:r>
      <w:r>
        <w:rPr>
          <w:rFonts w:hint="eastAsia" w:ascii="宋体" w:hAnsi="宋体"/>
          <w:sz w:val="28"/>
          <w:lang w:eastAsia="zh-CN"/>
        </w:rPr>
        <w:t>他项权状况</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sz w:val="28"/>
          <w:lang w:eastAsia="zh-CN"/>
        </w:rPr>
      </w:pPr>
      <w:r>
        <w:rPr>
          <w:rFonts w:hint="eastAsia" w:ascii="宋体" w:hAnsi="宋体"/>
          <w:sz w:val="28"/>
        </w:rPr>
        <w:t>依据估价委托人提供《</w:t>
      </w:r>
      <w:r>
        <w:rPr>
          <w:rFonts w:hint="eastAsia" w:ascii="宋体" w:hAnsi="宋体"/>
          <w:sz w:val="28"/>
          <w:lang w:eastAsia="zh-CN"/>
        </w:rPr>
        <w:t>平罗县</w:t>
      </w:r>
      <w:r>
        <w:rPr>
          <w:rFonts w:hint="eastAsia" w:ascii="宋体" w:hAnsi="宋体"/>
          <w:sz w:val="28"/>
        </w:rPr>
        <w:t>不动产登记信息查询单》</w:t>
      </w:r>
      <w:r>
        <w:rPr>
          <w:rFonts w:hint="eastAsia" w:ascii="宋体" w:hAnsi="宋体"/>
          <w:sz w:val="28"/>
          <w:lang w:eastAsia="zh-CN"/>
        </w:rPr>
        <w:t>、</w:t>
      </w:r>
      <w:r>
        <w:rPr>
          <w:rFonts w:hint="eastAsia" w:ascii="宋体" w:hAnsi="宋体"/>
          <w:sz w:val="28"/>
        </w:rPr>
        <w:t>《</w:t>
      </w:r>
      <w:r>
        <w:rPr>
          <w:rFonts w:hint="eastAsia" w:ascii="宋体" w:hAnsi="宋体"/>
          <w:sz w:val="28"/>
          <w:lang w:eastAsia="zh-CN"/>
        </w:rPr>
        <w:t>不动产登记证明</w:t>
      </w:r>
      <w:r>
        <w:rPr>
          <w:rFonts w:hint="eastAsia" w:ascii="宋体" w:hAnsi="宋体"/>
          <w:sz w:val="28"/>
        </w:rPr>
        <w:t>》显示：估价对象设定抵押权</w:t>
      </w:r>
      <w:r>
        <w:rPr>
          <w:rFonts w:hint="eastAsia" w:ascii="宋体" w:hAnsi="宋体"/>
          <w:sz w:val="28"/>
          <w:lang w:eastAsia="zh-CN"/>
        </w:rPr>
        <w:t>，</w:t>
      </w:r>
      <w:r>
        <w:rPr>
          <w:rFonts w:hint="eastAsia" w:ascii="宋体" w:hAnsi="宋体"/>
          <w:color w:val="000000"/>
          <w:sz w:val="28"/>
        </w:rPr>
        <w:t>抵押情况见下表</w:t>
      </w:r>
      <w:r>
        <w:rPr>
          <w:rFonts w:hint="eastAsia" w:ascii="宋体" w:hAnsi="宋体"/>
          <w:sz w:val="28"/>
          <w:lang w:eastAsia="zh-CN"/>
        </w:rPr>
        <w:t>：</w:t>
      </w:r>
    </w:p>
    <w:tbl>
      <w:tblPr>
        <w:tblStyle w:val="9"/>
        <w:tblW w:w="84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60"/>
        <w:gridCol w:w="5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560" w:type="dxa"/>
            <w:noWrap w:val="0"/>
            <w:vAlign w:val="center"/>
          </w:tcPr>
          <w:p>
            <w:pPr>
              <w:keepNext w:val="0"/>
              <w:keepLines w:val="0"/>
              <w:pageBreakBefore w:val="0"/>
              <w:kinsoku/>
              <w:wordWrap/>
              <w:overflowPunct/>
              <w:topLinePunct w:val="0"/>
              <w:autoSpaceDE/>
              <w:autoSpaceDN/>
              <w:bidi w:val="0"/>
              <w:adjustRightInd/>
              <w:snapToGrid/>
              <w:spacing w:line="280" w:lineRule="exact"/>
              <w:ind w:left="149" w:leftChars="71" w:firstLine="270" w:firstLineChars="129"/>
              <w:jc w:val="center"/>
              <w:textAlignment w:val="auto"/>
              <w:rPr>
                <w:rFonts w:hint="eastAsia" w:ascii="宋体" w:hAnsi="宋体" w:eastAsia="宋体" w:cs="宋体"/>
                <w:sz w:val="21"/>
                <w:szCs w:val="21"/>
              </w:rPr>
            </w:pPr>
            <w:r>
              <w:rPr>
                <w:rFonts w:hint="eastAsia" w:ascii="宋体" w:hAnsi="宋体" w:eastAsia="宋体" w:cs="宋体"/>
                <w:sz w:val="21"/>
                <w:szCs w:val="21"/>
              </w:rPr>
              <w:t>《不动产登记证明》证号</w:t>
            </w:r>
          </w:p>
        </w:tc>
        <w:tc>
          <w:tcPr>
            <w:tcW w:w="5903" w:type="dxa"/>
            <w:noWrap w:val="0"/>
            <w:vAlign w:val="center"/>
          </w:tcPr>
          <w:p>
            <w:pPr>
              <w:keepNext w:val="0"/>
              <w:keepLines w:val="0"/>
              <w:pageBreakBefore w:val="0"/>
              <w:kinsoku/>
              <w:wordWrap/>
              <w:overflowPunct/>
              <w:topLinePunct w:val="0"/>
              <w:autoSpaceDE/>
              <w:autoSpaceDN/>
              <w:bidi w:val="0"/>
              <w:adjustRightInd/>
              <w:snapToGrid/>
              <w:spacing w:line="280" w:lineRule="exact"/>
              <w:ind w:firstLine="400"/>
              <w:jc w:val="center"/>
              <w:textAlignment w:val="auto"/>
              <w:rPr>
                <w:rFonts w:hint="eastAsia" w:ascii="宋体" w:hAnsi="宋体" w:eastAsia="宋体" w:cs="宋体"/>
                <w:sz w:val="21"/>
                <w:szCs w:val="21"/>
              </w:rPr>
            </w:pPr>
            <w:r>
              <w:rPr>
                <w:rFonts w:hint="eastAsia" w:ascii="宋体" w:hAnsi="宋体" w:eastAsia="宋体" w:cs="宋体"/>
                <w:sz w:val="21"/>
                <w:szCs w:val="21"/>
              </w:rPr>
              <w:t>宁（201</w:t>
            </w:r>
            <w:r>
              <w:rPr>
                <w:rFonts w:hint="eastAsia" w:ascii="宋体" w:hAnsi="宋体" w:eastAsia="宋体" w:cs="宋体"/>
                <w:sz w:val="21"/>
                <w:szCs w:val="21"/>
                <w:lang w:val="en-US" w:eastAsia="zh-CN"/>
              </w:rPr>
              <w:t>8</w:t>
            </w:r>
            <w:r>
              <w:rPr>
                <w:rFonts w:hint="eastAsia" w:ascii="宋体" w:hAnsi="宋体" w:eastAsia="宋体" w:cs="宋体"/>
                <w:sz w:val="21"/>
                <w:szCs w:val="21"/>
              </w:rPr>
              <w:t>）</w:t>
            </w:r>
            <w:r>
              <w:rPr>
                <w:rFonts w:hint="eastAsia" w:ascii="宋体" w:hAnsi="宋体" w:eastAsia="宋体" w:cs="宋体"/>
                <w:sz w:val="21"/>
                <w:szCs w:val="21"/>
                <w:lang w:eastAsia="zh-CN"/>
              </w:rPr>
              <w:t>平罗县</w:t>
            </w:r>
            <w:r>
              <w:rPr>
                <w:rFonts w:hint="eastAsia" w:ascii="宋体" w:hAnsi="宋体" w:eastAsia="宋体" w:cs="宋体"/>
                <w:sz w:val="21"/>
                <w:szCs w:val="21"/>
              </w:rPr>
              <w:t>不动产证明第</w:t>
            </w:r>
            <w:r>
              <w:rPr>
                <w:rFonts w:hint="eastAsia" w:ascii="宋体" w:hAnsi="宋体" w:eastAsia="宋体" w:cs="宋体"/>
                <w:sz w:val="21"/>
                <w:szCs w:val="21"/>
                <w:lang w:val="en-US" w:eastAsia="zh-CN"/>
              </w:rPr>
              <w:t>P0002827</w:t>
            </w:r>
            <w:r>
              <w:rPr>
                <w:rFonts w:hint="eastAsia" w:ascii="宋体" w:hAnsi="宋体" w:eastAsia="宋体" w:cs="宋体"/>
                <w:sz w:val="21"/>
                <w:szCs w:val="21"/>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560" w:type="dxa"/>
            <w:noWrap w:val="0"/>
            <w:vAlign w:val="center"/>
          </w:tcPr>
          <w:p>
            <w:pPr>
              <w:keepNext w:val="0"/>
              <w:keepLines w:val="0"/>
              <w:pageBreakBefore w:val="0"/>
              <w:kinsoku/>
              <w:wordWrap/>
              <w:overflowPunct/>
              <w:topLinePunct w:val="0"/>
              <w:autoSpaceDE/>
              <w:autoSpaceDN/>
              <w:bidi w:val="0"/>
              <w:adjustRightInd/>
              <w:snapToGrid/>
              <w:spacing w:line="280" w:lineRule="exact"/>
              <w:ind w:left="149" w:leftChars="71" w:firstLine="270" w:firstLineChars="129"/>
              <w:jc w:val="center"/>
              <w:textAlignment w:val="auto"/>
              <w:rPr>
                <w:rFonts w:hint="eastAsia" w:ascii="宋体" w:hAnsi="宋体" w:eastAsia="宋体" w:cs="宋体"/>
                <w:sz w:val="21"/>
                <w:szCs w:val="21"/>
              </w:rPr>
            </w:pPr>
            <w:r>
              <w:rPr>
                <w:rFonts w:hint="eastAsia" w:ascii="宋体" w:hAnsi="宋体" w:eastAsia="宋体" w:cs="宋体"/>
                <w:sz w:val="21"/>
                <w:szCs w:val="21"/>
              </w:rPr>
              <w:t>证明权利或事项</w:t>
            </w:r>
          </w:p>
        </w:tc>
        <w:tc>
          <w:tcPr>
            <w:tcW w:w="5903" w:type="dxa"/>
            <w:noWrap w:val="0"/>
            <w:vAlign w:val="center"/>
          </w:tcPr>
          <w:p>
            <w:pPr>
              <w:keepNext w:val="0"/>
              <w:keepLines w:val="0"/>
              <w:pageBreakBefore w:val="0"/>
              <w:kinsoku/>
              <w:wordWrap/>
              <w:overflowPunct/>
              <w:topLinePunct w:val="0"/>
              <w:autoSpaceDE/>
              <w:autoSpaceDN/>
              <w:bidi w:val="0"/>
              <w:adjustRightInd/>
              <w:snapToGrid/>
              <w:spacing w:line="280" w:lineRule="exact"/>
              <w:ind w:firstLine="400"/>
              <w:jc w:val="center"/>
              <w:textAlignment w:val="auto"/>
              <w:rPr>
                <w:rFonts w:hint="eastAsia" w:ascii="宋体" w:hAnsi="宋体" w:eastAsia="宋体" w:cs="宋体"/>
                <w:sz w:val="21"/>
                <w:szCs w:val="21"/>
              </w:rPr>
            </w:pPr>
            <w:r>
              <w:rPr>
                <w:rFonts w:hint="eastAsia" w:ascii="宋体" w:hAnsi="宋体" w:eastAsia="宋体" w:cs="宋体"/>
                <w:sz w:val="21"/>
                <w:szCs w:val="21"/>
              </w:rPr>
              <w:t>抵押权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560" w:type="dxa"/>
            <w:noWrap w:val="0"/>
            <w:vAlign w:val="center"/>
          </w:tcPr>
          <w:p>
            <w:pPr>
              <w:keepNext w:val="0"/>
              <w:keepLines w:val="0"/>
              <w:pageBreakBefore w:val="0"/>
              <w:kinsoku/>
              <w:wordWrap/>
              <w:overflowPunct/>
              <w:topLinePunct w:val="0"/>
              <w:autoSpaceDE/>
              <w:autoSpaceDN/>
              <w:bidi w:val="0"/>
              <w:adjustRightInd/>
              <w:snapToGrid/>
              <w:spacing w:line="280" w:lineRule="exact"/>
              <w:ind w:left="149" w:leftChars="71" w:firstLine="270" w:firstLineChars="129"/>
              <w:jc w:val="center"/>
              <w:textAlignment w:val="auto"/>
              <w:rPr>
                <w:rFonts w:hint="eastAsia" w:ascii="宋体" w:hAnsi="宋体" w:eastAsia="宋体" w:cs="宋体"/>
                <w:sz w:val="21"/>
                <w:szCs w:val="21"/>
              </w:rPr>
            </w:pPr>
            <w:r>
              <w:rPr>
                <w:rFonts w:hint="eastAsia" w:ascii="宋体" w:hAnsi="宋体" w:eastAsia="宋体" w:cs="宋体"/>
                <w:sz w:val="21"/>
                <w:szCs w:val="21"/>
              </w:rPr>
              <w:t>权利人（申请人）</w:t>
            </w:r>
          </w:p>
        </w:tc>
        <w:tc>
          <w:tcPr>
            <w:tcW w:w="5903" w:type="dxa"/>
            <w:noWrap w:val="0"/>
            <w:vAlign w:val="center"/>
          </w:tcPr>
          <w:p>
            <w:pPr>
              <w:keepNext w:val="0"/>
              <w:keepLines w:val="0"/>
              <w:pageBreakBefore w:val="0"/>
              <w:kinsoku/>
              <w:wordWrap/>
              <w:overflowPunct/>
              <w:topLinePunct w:val="0"/>
              <w:autoSpaceDE/>
              <w:autoSpaceDN/>
              <w:bidi w:val="0"/>
              <w:adjustRightInd/>
              <w:snapToGrid/>
              <w:spacing w:line="280" w:lineRule="exact"/>
              <w:ind w:firstLine="40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宁夏</w:t>
            </w:r>
            <w:r>
              <w:rPr>
                <w:rFonts w:hint="eastAsia" w:ascii="宋体" w:hAnsi="宋体" w:eastAsia="宋体" w:cs="宋体"/>
                <w:sz w:val="21"/>
                <w:szCs w:val="21"/>
                <w:lang w:eastAsia="zh-CN"/>
              </w:rPr>
              <w:t>平罗农村商业银行股份有限公司玉皇阁支行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560" w:type="dxa"/>
            <w:noWrap w:val="0"/>
            <w:vAlign w:val="center"/>
          </w:tcPr>
          <w:p>
            <w:pPr>
              <w:keepNext w:val="0"/>
              <w:keepLines w:val="0"/>
              <w:pageBreakBefore w:val="0"/>
              <w:kinsoku/>
              <w:wordWrap/>
              <w:overflowPunct/>
              <w:topLinePunct w:val="0"/>
              <w:autoSpaceDE/>
              <w:autoSpaceDN/>
              <w:bidi w:val="0"/>
              <w:adjustRightInd/>
              <w:snapToGrid/>
              <w:spacing w:line="280" w:lineRule="exact"/>
              <w:ind w:left="149" w:leftChars="71" w:firstLine="270" w:firstLineChars="129"/>
              <w:jc w:val="center"/>
              <w:textAlignment w:val="auto"/>
              <w:rPr>
                <w:rFonts w:hint="eastAsia" w:ascii="宋体" w:hAnsi="宋体" w:eastAsia="宋体" w:cs="宋体"/>
                <w:sz w:val="21"/>
                <w:szCs w:val="21"/>
              </w:rPr>
            </w:pPr>
            <w:r>
              <w:rPr>
                <w:rFonts w:hint="eastAsia" w:ascii="宋体" w:hAnsi="宋体" w:eastAsia="宋体" w:cs="宋体"/>
                <w:sz w:val="21"/>
                <w:szCs w:val="21"/>
              </w:rPr>
              <w:t>义务人</w:t>
            </w:r>
          </w:p>
        </w:tc>
        <w:tc>
          <w:tcPr>
            <w:tcW w:w="5903" w:type="dxa"/>
            <w:noWrap w:val="0"/>
            <w:vAlign w:val="center"/>
          </w:tcPr>
          <w:p>
            <w:pPr>
              <w:keepNext w:val="0"/>
              <w:keepLines w:val="0"/>
              <w:pageBreakBefore w:val="0"/>
              <w:kinsoku/>
              <w:wordWrap/>
              <w:overflowPunct/>
              <w:topLinePunct w:val="0"/>
              <w:autoSpaceDE/>
              <w:autoSpaceDN/>
              <w:bidi w:val="0"/>
              <w:adjustRightInd/>
              <w:snapToGrid/>
              <w:spacing w:line="280" w:lineRule="exact"/>
              <w:ind w:firstLine="400"/>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马占东、王晶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560" w:type="dxa"/>
            <w:noWrap w:val="0"/>
            <w:vAlign w:val="center"/>
          </w:tcPr>
          <w:p>
            <w:pPr>
              <w:keepNext w:val="0"/>
              <w:keepLines w:val="0"/>
              <w:pageBreakBefore w:val="0"/>
              <w:kinsoku/>
              <w:wordWrap/>
              <w:overflowPunct/>
              <w:topLinePunct w:val="0"/>
              <w:autoSpaceDE/>
              <w:autoSpaceDN/>
              <w:bidi w:val="0"/>
              <w:adjustRightInd/>
              <w:snapToGrid/>
              <w:spacing w:line="280" w:lineRule="exact"/>
              <w:ind w:firstLine="400"/>
              <w:jc w:val="center"/>
              <w:textAlignment w:val="auto"/>
              <w:rPr>
                <w:rFonts w:hint="eastAsia" w:ascii="宋体" w:hAnsi="宋体" w:eastAsia="宋体" w:cs="宋体"/>
                <w:sz w:val="21"/>
                <w:szCs w:val="21"/>
              </w:rPr>
            </w:pPr>
            <w:r>
              <w:rPr>
                <w:rFonts w:hint="eastAsia" w:ascii="宋体" w:hAnsi="宋体" w:eastAsia="宋体" w:cs="宋体"/>
                <w:sz w:val="21"/>
                <w:szCs w:val="21"/>
              </w:rPr>
              <w:t>坐落</w:t>
            </w:r>
          </w:p>
        </w:tc>
        <w:tc>
          <w:tcPr>
            <w:tcW w:w="5903" w:type="dxa"/>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eastAsia="zh-CN"/>
              </w:rPr>
              <w:t>平罗县建设路北侧银北丽景</w:t>
            </w:r>
            <w:r>
              <w:rPr>
                <w:rFonts w:hint="eastAsia" w:ascii="宋体" w:hAnsi="宋体" w:eastAsia="宋体" w:cs="宋体"/>
                <w:sz w:val="21"/>
                <w:szCs w:val="21"/>
                <w:lang w:val="en-US" w:eastAsia="zh-CN"/>
              </w:rPr>
              <w:t>13幢1单元401号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560"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不动产单元号</w:t>
            </w:r>
          </w:p>
        </w:tc>
        <w:tc>
          <w:tcPr>
            <w:tcW w:w="59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640</w:t>
            </w:r>
            <w:r>
              <w:rPr>
                <w:rFonts w:hint="eastAsia" w:ascii="宋体" w:hAnsi="宋体" w:eastAsia="宋体" w:cs="宋体"/>
                <w:sz w:val="21"/>
                <w:szCs w:val="21"/>
                <w:lang w:val="en-US" w:eastAsia="zh-CN"/>
              </w:rPr>
              <w:t xml:space="preserve">221  100005  </w:t>
            </w:r>
            <w:r>
              <w:rPr>
                <w:rFonts w:hint="eastAsia" w:ascii="宋体" w:hAnsi="宋体" w:eastAsia="宋体" w:cs="宋体"/>
                <w:sz w:val="21"/>
                <w:szCs w:val="21"/>
              </w:rPr>
              <w:t>GB000</w:t>
            </w:r>
            <w:r>
              <w:rPr>
                <w:rFonts w:hint="eastAsia" w:ascii="宋体" w:hAnsi="宋体" w:eastAsia="宋体" w:cs="宋体"/>
                <w:sz w:val="21"/>
                <w:szCs w:val="21"/>
                <w:lang w:val="en-US" w:eastAsia="zh-CN"/>
              </w:rPr>
              <w:t>13</w:t>
            </w:r>
            <w:r>
              <w:rPr>
                <w:rFonts w:hint="eastAsia" w:ascii="宋体" w:hAnsi="宋体" w:eastAsia="宋体" w:cs="宋体"/>
                <w:sz w:val="21"/>
                <w:szCs w:val="21"/>
              </w:rPr>
              <w:t xml:space="preserve">  F00</w:t>
            </w:r>
            <w:r>
              <w:rPr>
                <w:rFonts w:hint="eastAsia" w:ascii="宋体" w:hAnsi="宋体" w:eastAsia="宋体" w:cs="宋体"/>
                <w:sz w:val="21"/>
                <w:szCs w:val="21"/>
                <w:lang w:val="en-US" w:eastAsia="zh-CN"/>
              </w:rPr>
              <w:t>26</w:t>
            </w:r>
            <w:r>
              <w:rPr>
                <w:rFonts w:hint="eastAsia" w:ascii="宋体" w:hAnsi="宋体" w:eastAsia="宋体" w:cs="宋体"/>
                <w:sz w:val="21"/>
                <w:szCs w:val="21"/>
              </w:rPr>
              <w:t>00</w:t>
            </w:r>
            <w:r>
              <w:rPr>
                <w:rFonts w:hint="eastAsia" w:ascii="宋体" w:hAnsi="宋体" w:eastAsia="宋体" w:cs="宋体"/>
                <w:sz w:val="21"/>
                <w:szCs w:val="21"/>
                <w:lang w:val="en-US" w:eastAsia="zh-CN"/>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560"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其他</w:t>
            </w:r>
          </w:p>
        </w:tc>
        <w:tc>
          <w:tcPr>
            <w:tcW w:w="5903"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不动产权证号：</w:t>
            </w:r>
            <w:r>
              <w:rPr>
                <w:rFonts w:hint="eastAsia" w:ascii="宋体" w:hAnsi="宋体" w:eastAsia="宋体" w:cs="宋体"/>
                <w:sz w:val="21"/>
                <w:szCs w:val="21"/>
                <w:lang w:eastAsia="zh-CN"/>
              </w:rPr>
              <w:t>平房权证平罗县字第</w:t>
            </w:r>
            <w:r>
              <w:rPr>
                <w:rFonts w:hint="eastAsia" w:ascii="宋体" w:hAnsi="宋体" w:eastAsia="宋体" w:cs="宋体"/>
                <w:sz w:val="21"/>
                <w:szCs w:val="21"/>
                <w:lang w:val="en-US" w:eastAsia="zh-CN"/>
              </w:rPr>
              <w:t>2011-35828号</w:t>
            </w:r>
          </w:p>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抵押方式：一般抵押</w:t>
            </w:r>
          </w:p>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被担保主债权数额：</w:t>
            </w:r>
            <w:r>
              <w:rPr>
                <w:rFonts w:hint="eastAsia" w:ascii="宋体" w:hAnsi="宋体" w:eastAsia="宋体" w:cs="宋体"/>
                <w:sz w:val="21"/>
                <w:szCs w:val="21"/>
                <w:lang w:val="en-US" w:eastAsia="zh-CN"/>
              </w:rPr>
              <w:t>30</w:t>
            </w:r>
            <w:r>
              <w:rPr>
                <w:rFonts w:hint="eastAsia" w:ascii="宋体" w:hAnsi="宋体" w:eastAsia="宋体" w:cs="宋体"/>
                <w:sz w:val="21"/>
                <w:szCs w:val="21"/>
              </w:rPr>
              <w:t>万元</w:t>
            </w:r>
            <w:r>
              <w:rPr>
                <w:rFonts w:hint="eastAsia" w:ascii="宋体" w:hAnsi="宋体" w:eastAsia="宋体" w:cs="宋体"/>
                <w:sz w:val="21"/>
                <w:szCs w:val="21"/>
                <w:lang w:eastAsia="zh-CN"/>
              </w:rPr>
              <w:t>；评估价值（万元）：</w:t>
            </w:r>
            <w:r>
              <w:rPr>
                <w:rFonts w:hint="eastAsia" w:ascii="宋体" w:hAnsi="宋体" w:eastAsia="宋体" w:cs="宋体"/>
                <w:sz w:val="21"/>
                <w:szCs w:val="21"/>
                <w:lang w:val="en-US" w:eastAsia="zh-CN"/>
              </w:rPr>
              <w:t>30</w:t>
            </w:r>
          </w:p>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履行债务期限</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2018年04月20日起2019年04月18日止</w:t>
            </w:r>
          </w:p>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抵押面积：房屋建筑面积</w:t>
            </w:r>
            <w:r>
              <w:rPr>
                <w:rFonts w:hint="eastAsia" w:ascii="宋体" w:hAnsi="宋体" w:eastAsia="宋体" w:cs="宋体"/>
                <w:sz w:val="21"/>
                <w:szCs w:val="21"/>
                <w:lang w:val="en-US" w:eastAsia="zh-CN"/>
              </w:rPr>
              <w:t>121.12</w:t>
            </w:r>
            <w:r>
              <w:rPr>
                <w:rFonts w:hint="eastAsia" w:ascii="宋体" w:hAnsi="宋体" w:eastAsia="宋体" w:cs="宋体"/>
                <w:sz w:val="21"/>
                <w:szCs w:val="21"/>
              </w:rPr>
              <w:t>平方米</w:t>
            </w:r>
          </w:p>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债务人：马占东、王晶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560"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附记</w:t>
            </w:r>
          </w:p>
        </w:tc>
        <w:tc>
          <w:tcPr>
            <w:tcW w:w="5903" w:type="dxa"/>
            <w:tcBorders>
              <w:top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rPr>
            </w:pPr>
          </w:p>
        </w:tc>
      </w:tr>
    </w:tbl>
    <w:p>
      <w:pPr>
        <w:spacing w:line="500" w:lineRule="exact"/>
        <w:ind w:right="-107" w:rightChars="-51" w:firstLine="560" w:firstLineChars="200"/>
        <w:rPr>
          <w:rFonts w:hint="eastAsia" w:ascii="宋体" w:hAnsi="宋体"/>
          <w:sz w:val="28"/>
          <w:szCs w:val="28"/>
        </w:rPr>
      </w:pPr>
      <w:r>
        <w:rPr>
          <w:rFonts w:hint="eastAsia" w:ascii="宋体" w:hAnsi="宋体"/>
          <w:sz w:val="28"/>
        </w:rPr>
        <w:t>现场查勘时，估价对象现由房屋所有权人居住。</w:t>
      </w:r>
    </w:p>
    <w:p>
      <w:pPr>
        <w:spacing w:line="500" w:lineRule="exact"/>
        <w:ind w:firstLine="560" w:firstLineChars="200"/>
        <w:rPr>
          <w:rFonts w:hint="eastAsia" w:ascii="宋体" w:hAnsi="宋体"/>
          <w:sz w:val="28"/>
        </w:rPr>
      </w:pPr>
      <w:r>
        <w:rPr>
          <w:rFonts w:hint="eastAsia" w:ascii="宋体" w:hAnsi="宋体"/>
          <w:sz w:val="28"/>
          <w:lang w:val="en-US" w:eastAsia="zh-CN"/>
        </w:rPr>
        <w:t>6</w:t>
      </w:r>
      <w:r>
        <w:rPr>
          <w:rFonts w:hint="eastAsia" w:ascii="宋体" w:hAnsi="宋体"/>
          <w:sz w:val="28"/>
        </w:rPr>
        <w:t>、估价对象涉案情况</w:t>
      </w:r>
    </w:p>
    <w:p>
      <w:pPr>
        <w:spacing w:line="480" w:lineRule="exact"/>
        <w:ind w:firstLine="560" w:firstLineChars="200"/>
        <w:rPr>
          <w:rFonts w:hint="eastAsia" w:ascii="宋体" w:hAnsi="宋体"/>
          <w:sz w:val="28"/>
          <w:szCs w:val="28"/>
          <w:lang w:eastAsia="zh-CN"/>
        </w:rPr>
      </w:pPr>
      <w:r>
        <w:rPr>
          <w:rFonts w:hint="eastAsia" w:ascii="宋体" w:hAnsi="宋体"/>
          <w:sz w:val="28"/>
        </w:rPr>
        <w:t>根据《宁夏回族自治区</w:t>
      </w:r>
      <w:r>
        <w:rPr>
          <w:rFonts w:hint="eastAsia" w:ascii="宋体" w:hAnsi="宋体"/>
          <w:sz w:val="28"/>
          <w:lang w:eastAsia="zh-CN"/>
        </w:rPr>
        <w:t>平罗县</w:t>
      </w:r>
      <w:r>
        <w:rPr>
          <w:rFonts w:hint="eastAsia" w:ascii="宋体" w:hAnsi="宋体"/>
          <w:sz w:val="28"/>
        </w:rPr>
        <w:t>人民法院</w:t>
      </w:r>
      <w:r>
        <w:rPr>
          <w:rFonts w:hint="eastAsia" w:ascii="宋体" w:hAnsi="宋体"/>
          <w:sz w:val="28"/>
          <w:lang w:eastAsia="zh-CN"/>
        </w:rPr>
        <w:t>价格评估委托书</w:t>
      </w:r>
      <w:r>
        <w:rPr>
          <w:rFonts w:hint="eastAsia" w:ascii="宋体" w:hAnsi="宋体"/>
          <w:sz w:val="28"/>
        </w:rPr>
        <w:t>》</w:t>
      </w:r>
      <w:r>
        <w:rPr>
          <w:rFonts w:hint="eastAsia" w:ascii="宋体" w:hAnsi="宋体"/>
          <w:sz w:val="28"/>
          <w:szCs w:val="28"/>
        </w:rPr>
        <w:t>（2021）宁</w:t>
      </w:r>
      <w:r>
        <w:rPr>
          <w:rFonts w:hint="eastAsia" w:ascii="宋体" w:hAnsi="宋体"/>
          <w:sz w:val="28"/>
          <w:szCs w:val="28"/>
          <w:lang w:val="en-US" w:eastAsia="zh-CN"/>
        </w:rPr>
        <w:t>0221</w:t>
      </w:r>
      <w:r>
        <w:rPr>
          <w:rFonts w:hint="eastAsia" w:ascii="宋体" w:hAnsi="宋体"/>
          <w:sz w:val="28"/>
          <w:szCs w:val="28"/>
        </w:rPr>
        <w:t>执</w:t>
      </w:r>
      <w:r>
        <w:rPr>
          <w:rFonts w:hint="eastAsia" w:ascii="宋体" w:hAnsi="宋体"/>
          <w:sz w:val="28"/>
          <w:szCs w:val="28"/>
          <w:lang w:val="en-US" w:eastAsia="zh-CN"/>
        </w:rPr>
        <w:t>1509</w:t>
      </w:r>
      <w:r>
        <w:rPr>
          <w:rFonts w:hint="eastAsia" w:ascii="宋体" w:hAnsi="宋体"/>
          <w:sz w:val="28"/>
          <w:szCs w:val="28"/>
        </w:rPr>
        <w:t>号</w:t>
      </w:r>
      <w:r>
        <w:rPr>
          <w:rFonts w:hint="eastAsia" w:ascii="宋体" w:hAnsi="宋体"/>
          <w:sz w:val="28"/>
        </w:rPr>
        <w:t>显示：估价对象涉</w:t>
      </w:r>
      <w:r>
        <w:rPr>
          <w:rFonts w:hint="eastAsia" w:ascii="宋体" w:hAnsi="宋体"/>
          <w:sz w:val="28"/>
          <w:lang w:eastAsia="zh-CN"/>
        </w:rPr>
        <w:t>宁夏平罗农村商业银行股份有限公司</w:t>
      </w:r>
      <w:r>
        <w:rPr>
          <w:rFonts w:hint="eastAsia" w:ascii="宋体" w:hAnsi="宋体"/>
          <w:sz w:val="28"/>
        </w:rPr>
        <w:t>与</w:t>
      </w:r>
      <w:r>
        <w:rPr>
          <w:rFonts w:hint="eastAsia" w:ascii="宋体" w:hAnsi="宋体"/>
          <w:sz w:val="28"/>
          <w:lang w:eastAsia="zh-CN"/>
        </w:rPr>
        <w:t>马占东、王晶</w:t>
      </w:r>
      <w:r>
        <w:rPr>
          <w:rFonts w:hint="eastAsia" w:ascii="宋体" w:hAnsi="宋体"/>
          <w:sz w:val="28"/>
        </w:rPr>
        <w:t>金融借款合同纠纷一案</w:t>
      </w:r>
      <w:r>
        <w:rPr>
          <w:rFonts w:hint="eastAsia" w:ascii="宋体" w:hAnsi="宋体"/>
          <w:sz w:val="28"/>
          <w:lang w:eastAsia="zh-CN"/>
        </w:rPr>
        <w:t>；</w:t>
      </w:r>
      <w:r>
        <w:rPr>
          <w:rFonts w:hint="eastAsia" w:ascii="宋体" w:hAnsi="宋体"/>
          <w:sz w:val="28"/>
        </w:rPr>
        <w:t>《</w:t>
      </w:r>
      <w:r>
        <w:rPr>
          <w:rFonts w:hint="eastAsia" w:ascii="宋体" w:hAnsi="宋体"/>
          <w:sz w:val="28"/>
          <w:lang w:eastAsia="zh-CN"/>
        </w:rPr>
        <w:t>平罗县</w:t>
      </w:r>
      <w:r>
        <w:rPr>
          <w:rFonts w:hint="eastAsia" w:ascii="宋体" w:hAnsi="宋体"/>
          <w:sz w:val="28"/>
        </w:rPr>
        <w:t>不动产登记信息》、显示：</w:t>
      </w:r>
      <w:r>
        <w:rPr>
          <w:rFonts w:hint="eastAsia" w:ascii="宋体" w:hAnsi="宋体"/>
          <w:sz w:val="28"/>
          <w:szCs w:val="28"/>
        </w:rPr>
        <w:t>估价对象已查封，具体查封情况见下表</w:t>
      </w:r>
      <w:r>
        <w:rPr>
          <w:rFonts w:hint="eastAsia" w:ascii="宋体" w:hAnsi="宋体"/>
          <w:sz w:val="28"/>
          <w:szCs w:val="28"/>
          <w:lang w:eastAsia="zh-CN"/>
        </w:rPr>
        <w:t>：</w:t>
      </w:r>
    </w:p>
    <w:tbl>
      <w:tblPr>
        <w:tblStyle w:val="9"/>
        <w:tblpPr w:leftFromText="180" w:rightFromText="180" w:vertAnchor="text" w:horzAnchor="page" w:tblpX="1716" w:tblpY="454"/>
        <w:tblOverlap w:val="never"/>
        <w:tblW w:w="90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6"/>
        <w:gridCol w:w="1241"/>
        <w:gridCol w:w="1200"/>
        <w:gridCol w:w="1091"/>
        <w:gridCol w:w="941"/>
        <w:gridCol w:w="1023"/>
        <w:gridCol w:w="1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exact"/>
        </w:trPr>
        <w:tc>
          <w:tcPr>
            <w:tcW w:w="157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被查封人</w:t>
            </w:r>
          </w:p>
        </w:tc>
        <w:tc>
          <w:tcPr>
            <w:tcW w:w="124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查封机关</w:t>
            </w: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eastAsia="zh-CN"/>
              </w:rPr>
              <w:t>查封</w:t>
            </w:r>
            <w:r>
              <w:rPr>
                <w:rFonts w:hint="eastAsia" w:ascii="宋体" w:hAnsi="宋体" w:eastAsia="宋体" w:cs="宋体"/>
                <w:color w:val="000000"/>
                <w:sz w:val="18"/>
                <w:szCs w:val="18"/>
              </w:rPr>
              <w:t>文件</w:t>
            </w: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eastAsia="zh-CN"/>
              </w:rPr>
              <w:t>查封</w:t>
            </w:r>
            <w:r>
              <w:rPr>
                <w:rFonts w:hint="eastAsia" w:ascii="宋体" w:hAnsi="宋体" w:eastAsia="宋体" w:cs="宋体"/>
                <w:color w:val="000000"/>
                <w:sz w:val="18"/>
                <w:szCs w:val="18"/>
              </w:rPr>
              <w:t>文号</w:t>
            </w:r>
          </w:p>
        </w:tc>
        <w:tc>
          <w:tcPr>
            <w:tcW w:w="94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eastAsia="zh-CN"/>
              </w:rPr>
              <w:t>查封起始日期</w:t>
            </w:r>
          </w:p>
        </w:tc>
        <w:tc>
          <w:tcPr>
            <w:tcW w:w="102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查封终止日期</w:t>
            </w:r>
          </w:p>
        </w:tc>
        <w:tc>
          <w:tcPr>
            <w:tcW w:w="196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被</w:t>
            </w:r>
            <w:r>
              <w:rPr>
                <w:rFonts w:hint="eastAsia" w:ascii="宋体" w:hAnsi="宋体" w:eastAsia="宋体" w:cs="宋体"/>
                <w:color w:val="000000"/>
                <w:sz w:val="18"/>
                <w:szCs w:val="18"/>
                <w:lang w:eastAsia="zh-CN"/>
              </w:rPr>
              <w:t>查封证号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exact"/>
        </w:trPr>
        <w:tc>
          <w:tcPr>
            <w:tcW w:w="157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马占东、王晶</w:t>
            </w:r>
          </w:p>
        </w:tc>
        <w:tc>
          <w:tcPr>
            <w:tcW w:w="124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平罗县人民法院</w:t>
            </w: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2019宁0</w:t>
            </w:r>
            <w:r>
              <w:rPr>
                <w:rFonts w:hint="eastAsia" w:ascii="宋体" w:hAnsi="宋体" w:eastAsia="宋体" w:cs="宋体"/>
                <w:color w:val="000000"/>
                <w:sz w:val="18"/>
                <w:szCs w:val="18"/>
                <w:lang w:val="en-US" w:eastAsia="zh-CN"/>
              </w:rPr>
              <w:t>221</w:t>
            </w:r>
            <w:r>
              <w:rPr>
                <w:rFonts w:hint="eastAsia" w:ascii="宋体" w:hAnsi="宋体" w:eastAsia="宋体" w:cs="宋体"/>
                <w:color w:val="000000"/>
                <w:sz w:val="18"/>
                <w:szCs w:val="18"/>
                <w:lang w:eastAsia="zh-CN"/>
              </w:rPr>
              <w:t>财保</w:t>
            </w:r>
            <w:r>
              <w:rPr>
                <w:rFonts w:hint="eastAsia" w:ascii="宋体" w:hAnsi="宋体" w:eastAsia="宋体" w:cs="宋体"/>
                <w:color w:val="000000"/>
                <w:sz w:val="18"/>
                <w:szCs w:val="18"/>
                <w:lang w:val="en-US" w:eastAsia="zh-CN"/>
              </w:rPr>
              <w:t>18</w:t>
            </w:r>
            <w:r>
              <w:rPr>
                <w:rFonts w:hint="eastAsia" w:ascii="宋体" w:hAnsi="宋体" w:eastAsia="宋体" w:cs="宋体"/>
                <w:color w:val="000000"/>
                <w:sz w:val="18"/>
                <w:szCs w:val="18"/>
              </w:rPr>
              <w:t>号</w:t>
            </w: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2019宁0</w:t>
            </w:r>
            <w:r>
              <w:rPr>
                <w:rFonts w:hint="eastAsia" w:ascii="宋体" w:hAnsi="宋体" w:eastAsia="宋体" w:cs="宋体"/>
                <w:color w:val="000000"/>
                <w:sz w:val="18"/>
                <w:szCs w:val="18"/>
                <w:lang w:val="en-US" w:eastAsia="zh-CN"/>
              </w:rPr>
              <w:t>221</w:t>
            </w:r>
            <w:r>
              <w:rPr>
                <w:rFonts w:hint="eastAsia" w:ascii="宋体" w:hAnsi="宋体" w:eastAsia="宋体" w:cs="宋体"/>
                <w:color w:val="000000"/>
                <w:sz w:val="18"/>
                <w:szCs w:val="18"/>
                <w:lang w:eastAsia="zh-CN"/>
              </w:rPr>
              <w:t>财保</w:t>
            </w:r>
            <w:r>
              <w:rPr>
                <w:rFonts w:hint="eastAsia" w:ascii="宋体" w:hAnsi="宋体" w:eastAsia="宋体" w:cs="宋体"/>
                <w:color w:val="000000"/>
                <w:sz w:val="18"/>
                <w:szCs w:val="18"/>
                <w:lang w:val="en-US" w:eastAsia="zh-CN"/>
              </w:rPr>
              <w:t>18</w:t>
            </w:r>
            <w:r>
              <w:rPr>
                <w:rFonts w:hint="eastAsia" w:ascii="宋体" w:hAnsi="宋体" w:eastAsia="宋体" w:cs="宋体"/>
                <w:color w:val="000000"/>
                <w:sz w:val="18"/>
                <w:szCs w:val="18"/>
              </w:rPr>
              <w:t>号</w:t>
            </w:r>
          </w:p>
        </w:tc>
        <w:tc>
          <w:tcPr>
            <w:tcW w:w="94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FF0000"/>
                <w:sz w:val="18"/>
                <w:szCs w:val="18"/>
                <w:lang w:val="en-US" w:eastAsia="zh-CN"/>
              </w:rPr>
            </w:pPr>
            <w:r>
              <w:rPr>
                <w:rFonts w:hint="eastAsia" w:ascii="宋体" w:hAnsi="宋体" w:eastAsia="宋体" w:cs="宋体"/>
                <w:color w:val="FF0000"/>
                <w:sz w:val="18"/>
                <w:szCs w:val="18"/>
              </w:rPr>
              <w:t>2019-0</w:t>
            </w:r>
            <w:r>
              <w:rPr>
                <w:rFonts w:hint="eastAsia" w:ascii="宋体" w:hAnsi="宋体" w:eastAsia="宋体" w:cs="宋体"/>
                <w:color w:val="FF0000"/>
                <w:sz w:val="18"/>
                <w:szCs w:val="18"/>
                <w:lang w:val="en-US" w:eastAsia="zh-CN"/>
              </w:rPr>
              <w:t>3</w:t>
            </w:r>
            <w:r>
              <w:rPr>
                <w:rFonts w:hint="eastAsia" w:ascii="宋体" w:hAnsi="宋体" w:eastAsia="宋体" w:cs="宋体"/>
                <w:color w:val="FF0000"/>
                <w:sz w:val="18"/>
                <w:szCs w:val="18"/>
              </w:rPr>
              <w:t>-</w:t>
            </w:r>
            <w:r>
              <w:rPr>
                <w:rFonts w:hint="eastAsia" w:ascii="宋体" w:hAnsi="宋体" w:eastAsia="宋体" w:cs="宋体"/>
                <w:color w:val="FF0000"/>
                <w:sz w:val="18"/>
                <w:szCs w:val="18"/>
                <w:lang w:val="en-US" w:eastAsia="zh-CN"/>
              </w:rPr>
              <w:t>07</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FF0000"/>
                <w:kern w:val="2"/>
                <w:sz w:val="18"/>
                <w:szCs w:val="18"/>
                <w:lang w:val="en-US" w:eastAsia="zh-CN" w:bidi="ar-SA"/>
              </w:rPr>
            </w:pPr>
          </w:p>
        </w:tc>
        <w:tc>
          <w:tcPr>
            <w:tcW w:w="102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FF0000"/>
                <w:sz w:val="18"/>
                <w:szCs w:val="18"/>
                <w:lang w:val="en-US" w:eastAsia="zh-CN"/>
              </w:rPr>
            </w:pPr>
            <w:r>
              <w:rPr>
                <w:rFonts w:hint="eastAsia" w:ascii="宋体" w:hAnsi="宋体" w:eastAsia="宋体" w:cs="宋体"/>
                <w:color w:val="FF0000"/>
                <w:sz w:val="18"/>
                <w:szCs w:val="18"/>
              </w:rPr>
              <w:t>20</w:t>
            </w:r>
            <w:r>
              <w:rPr>
                <w:rFonts w:hint="eastAsia" w:ascii="宋体" w:hAnsi="宋体" w:eastAsia="宋体" w:cs="宋体"/>
                <w:color w:val="FF0000"/>
                <w:sz w:val="18"/>
                <w:szCs w:val="18"/>
                <w:lang w:val="en-US" w:eastAsia="zh-CN"/>
              </w:rPr>
              <w:t>22</w:t>
            </w:r>
            <w:r>
              <w:rPr>
                <w:rFonts w:hint="eastAsia" w:ascii="宋体" w:hAnsi="宋体" w:eastAsia="宋体" w:cs="宋体"/>
                <w:color w:val="FF0000"/>
                <w:sz w:val="18"/>
                <w:szCs w:val="18"/>
              </w:rPr>
              <w:t>-0</w:t>
            </w:r>
            <w:r>
              <w:rPr>
                <w:rFonts w:hint="eastAsia" w:ascii="宋体" w:hAnsi="宋体" w:eastAsia="宋体" w:cs="宋体"/>
                <w:color w:val="FF0000"/>
                <w:sz w:val="18"/>
                <w:szCs w:val="18"/>
                <w:lang w:val="en-US" w:eastAsia="zh-CN"/>
              </w:rPr>
              <w:t>3</w:t>
            </w:r>
            <w:r>
              <w:rPr>
                <w:rFonts w:hint="eastAsia" w:ascii="宋体" w:hAnsi="宋体" w:eastAsia="宋体" w:cs="宋体"/>
                <w:color w:val="FF0000"/>
                <w:sz w:val="18"/>
                <w:szCs w:val="18"/>
              </w:rPr>
              <w:t>-</w:t>
            </w:r>
            <w:r>
              <w:rPr>
                <w:rFonts w:hint="eastAsia" w:ascii="宋体" w:hAnsi="宋体" w:eastAsia="宋体" w:cs="宋体"/>
                <w:color w:val="FF0000"/>
                <w:sz w:val="18"/>
                <w:szCs w:val="18"/>
                <w:lang w:val="en-US" w:eastAsia="zh-CN"/>
              </w:rPr>
              <w:t>07</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000000"/>
                <w:sz w:val="18"/>
                <w:szCs w:val="18"/>
              </w:rPr>
            </w:pPr>
          </w:p>
        </w:tc>
        <w:tc>
          <w:tcPr>
            <w:tcW w:w="196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000000"/>
                <w:kern w:val="2"/>
                <w:sz w:val="18"/>
                <w:szCs w:val="18"/>
                <w:lang w:val="en-US" w:eastAsia="zh-CN" w:bidi="ar-SA"/>
              </w:rPr>
            </w:pPr>
            <w:r>
              <w:rPr>
                <w:rFonts w:hint="eastAsia" w:ascii="宋体" w:hAnsi="宋体" w:eastAsia="宋体" w:cs="宋体"/>
                <w:sz w:val="18"/>
                <w:szCs w:val="18"/>
                <w:lang w:eastAsia="zh-CN"/>
              </w:rPr>
              <w:t>平房权证平罗县字第</w:t>
            </w:r>
            <w:r>
              <w:rPr>
                <w:rFonts w:hint="eastAsia" w:ascii="宋体" w:hAnsi="宋体" w:eastAsia="宋体" w:cs="宋体"/>
                <w:sz w:val="18"/>
                <w:szCs w:val="18"/>
                <w:lang w:val="en-US" w:eastAsia="zh-CN"/>
              </w:rPr>
              <w:t>2011-35828号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exact"/>
        </w:trPr>
        <w:tc>
          <w:tcPr>
            <w:tcW w:w="157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海刚、马佳、马占东、宁夏宏泰实业投资有限公司、王晶、周少琦</w:t>
            </w:r>
          </w:p>
        </w:tc>
        <w:tc>
          <w:tcPr>
            <w:tcW w:w="124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平罗县人民法院</w:t>
            </w: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2020宁0221执2000号</w:t>
            </w: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000000"/>
                <w:kern w:val="2"/>
                <w:sz w:val="18"/>
                <w:szCs w:val="18"/>
                <w:lang w:val="en-US" w:eastAsia="zh-CN" w:bidi="ar-SA"/>
              </w:rPr>
            </w:pPr>
            <w:r>
              <w:rPr>
                <w:rFonts w:hint="eastAsia" w:ascii="宋体" w:hAnsi="宋体" w:eastAsia="宋体" w:cs="宋体"/>
                <w:kern w:val="2"/>
                <w:sz w:val="18"/>
                <w:szCs w:val="18"/>
                <w:lang w:val="en-US" w:eastAsia="zh-CN" w:bidi="ar-SA"/>
              </w:rPr>
              <w:t>2020宁0221执2000号</w:t>
            </w:r>
          </w:p>
        </w:tc>
        <w:tc>
          <w:tcPr>
            <w:tcW w:w="94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FF0000"/>
                <w:kern w:val="2"/>
                <w:sz w:val="18"/>
                <w:szCs w:val="18"/>
                <w:lang w:val="en-US" w:eastAsia="zh-CN" w:bidi="ar-SA"/>
              </w:rPr>
            </w:pPr>
            <w:r>
              <w:rPr>
                <w:rFonts w:hint="eastAsia" w:ascii="宋体" w:hAnsi="宋体" w:eastAsia="宋体" w:cs="宋体"/>
                <w:color w:val="FF0000"/>
                <w:kern w:val="2"/>
                <w:sz w:val="18"/>
                <w:szCs w:val="18"/>
                <w:lang w:val="en-US" w:eastAsia="zh-CN" w:bidi="ar-SA"/>
              </w:rPr>
              <w:t>2021-03-03</w:t>
            </w:r>
          </w:p>
        </w:tc>
        <w:tc>
          <w:tcPr>
            <w:tcW w:w="102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2024-03-03</w:t>
            </w:r>
          </w:p>
        </w:tc>
        <w:tc>
          <w:tcPr>
            <w:tcW w:w="196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平房权证平罗县字第</w:t>
            </w:r>
            <w:r>
              <w:rPr>
                <w:rFonts w:hint="eastAsia" w:ascii="宋体" w:hAnsi="宋体" w:eastAsia="宋体" w:cs="宋体"/>
                <w:sz w:val="18"/>
                <w:szCs w:val="18"/>
                <w:lang w:val="en-US" w:eastAsia="zh-CN"/>
              </w:rPr>
              <w:t>2011-35828号</w:t>
            </w:r>
          </w:p>
        </w:tc>
      </w:tr>
    </w:tbl>
    <w:p>
      <w:pPr>
        <w:spacing w:line="500" w:lineRule="exact"/>
        <w:ind w:firstLine="562" w:firstLineChars="200"/>
        <w:rPr>
          <w:rFonts w:hint="eastAsia" w:ascii="宋体" w:hAnsi="宋体"/>
          <w:b/>
          <w:color w:val="000000"/>
          <w:sz w:val="28"/>
        </w:rPr>
      </w:pPr>
      <w:r>
        <w:rPr>
          <w:rFonts w:hint="eastAsia" w:ascii="宋体" w:hAnsi="宋体"/>
          <w:b/>
          <w:color w:val="000000"/>
          <w:sz w:val="28"/>
        </w:rPr>
        <w:t>㈣估价对象区位状况</w:t>
      </w:r>
    </w:p>
    <w:p>
      <w:pPr>
        <w:spacing w:line="506" w:lineRule="exact"/>
        <w:ind w:firstLine="560" w:firstLineChars="200"/>
        <w:rPr>
          <w:rFonts w:hint="eastAsia" w:ascii="宋体" w:hAnsi="宋体"/>
          <w:sz w:val="28"/>
          <w:szCs w:val="28"/>
        </w:rPr>
      </w:pPr>
      <w:r>
        <w:rPr>
          <w:rFonts w:hint="eastAsia" w:ascii="宋体" w:hAnsi="宋体"/>
          <w:sz w:val="28"/>
          <w:szCs w:val="28"/>
        </w:rPr>
        <w:t>1、位置：估价对象位于</w:t>
      </w:r>
      <w:r>
        <w:rPr>
          <w:rFonts w:hint="eastAsia" w:ascii="宋体" w:hAnsi="宋体"/>
          <w:sz w:val="28"/>
          <w:szCs w:val="28"/>
          <w:lang w:eastAsia="zh-CN"/>
        </w:rPr>
        <w:t>平罗县建设路北侧银北丽景13幢1单元401号</w:t>
      </w:r>
      <w:r>
        <w:rPr>
          <w:rFonts w:hint="eastAsia" w:ascii="宋体" w:hAnsi="宋体"/>
          <w:sz w:val="28"/>
          <w:szCs w:val="28"/>
        </w:rPr>
        <w:t>，</w:t>
      </w:r>
      <w:r>
        <w:rPr>
          <w:rFonts w:hint="eastAsia" w:ascii="宋体" w:hAnsi="宋体"/>
          <w:sz w:val="28"/>
        </w:rPr>
        <w:t>小区四至为：东临</w:t>
      </w:r>
      <w:r>
        <w:rPr>
          <w:rFonts w:hint="eastAsia" w:ascii="宋体" w:hAnsi="宋体"/>
          <w:sz w:val="28"/>
          <w:lang w:eastAsia="zh-CN"/>
        </w:rPr>
        <w:t>萧公大街</w:t>
      </w:r>
      <w:r>
        <w:rPr>
          <w:rFonts w:hint="eastAsia" w:ascii="宋体" w:hAnsi="宋体"/>
          <w:sz w:val="28"/>
        </w:rPr>
        <w:t>，南临</w:t>
      </w:r>
      <w:r>
        <w:rPr>
          <w:rFonts w:hint="eastAsia" w:ascii="宋体" w:hAnsi="宋体"/>
          <w:sz w:val="28"/>
          <w:lang w:eastAsia="zh-CN"/>
        </w:rPr>
        <w:t>宝丰路</w:t>
      </w:r>
      <w:r>
        <w:rPr>
          <w:rFonts w:hint="eastAsia" w:ascii="宋体" w:hAnsi="宋体"/>
          <w:sz w:val="28"/>
        </w:rPr>
        <w:t>，西临</w:t>
      </w:r>
      <w:r>
        <w:rPr>
          <w:rFonts w:hint="eastAsia" w:ascii="宋体" w:hAnsi="宋体"/>
          <w:sz w:val="28"/>
          <w:lang w:eastAsia="zh-CN"/>
        </w:rPr>
        <w:t>民族大街</w:t>
      </w:r>
      <w:r>
        <w:rPr>
          <w:rFonts w:hint="eastAsia" w:ascii="宋体" w:hAnsi="宋体"/>
          <w:sz w:val="28"/>
        </w:rPr>
        <w:t>，北临</w:t>
      </w:r>
      <w:r>
        <w:rPr>
          <w:rFonts w:hint="eastAsia" w:ascii="宋体" w:hAnsi="宋体"/>
          <w:sz w:val="28"/>
          <w:lang w:eastAsia="zh-CN"/>
        </w:rPr>
        <w:t>金桥</w:t>
      </w:r>
      <w:r>
        <w:rPr>
          <w:rFonts w:hint="eastAsia" w:ascii="宋体" w:hAnsi="宋体"/>
          <w:sz w:val="28"/>
        </w:rPr>
        <w:t>路。</w:t>
      </w:r>
      <w:r>
        <w:rPr>
          <w:rFonts w:hint="eastAsia" w:ascii="宋体" w:hAnsi="宋体"/>
          <w:sz w:val="28"/>
          <w:szCs w:val="28"/>
        </w:rPr>
        <w:t>总层数为</w:t>
      </w:r>
      <w:r>
        <w:rPr>
          <w:rFonts w:hint="eastAsia" w:ascii="宋体" w:hAnsi="宋体"/>
          <w:sz w:val="28"/>
          <w:szCs w:val="28"/>
          <w:lang w:val="en-US" w:eastAsia="zh-CN"/>
        </w:rPr>
        <w:t>6</w:t>
      </w:r>
      <w:r>
        <w:rPr>
          <w:rFonts w:hint="eastAsia" w:ascii="宋体" w:hAnsi="宋体"/>
          <w:sz w:val="28"/>
          <w:szCs w:val="28"/>
        </w:rPr>
        <w:t>层，估价对象位于其</w:t>
      </w:r>
      <w:r>
        <w:rPr>
          <w:rFonts w:hint="eastAsia" w:ascii="宋体" w:hAnsi="宋体"/>
          <w:sz w:val="28"/>
          <w:szCs w:val="28"/>
          <w:lang w:val="en-US" w:eastAsia="zh-CN"/>
        </w:rPr>
        <w:t>4</w:t>
      </w:r>
      <w:r>
        <w:rPr>
          <w:rFonts w:hint="eastAsia" w:ascii="宋体" w:hAnsi="宋体"/>
          <w:sz w:val="28"/>
          <w:szCs w:val="28"/>
        </w:rPr>
        <w:t>层，南北朝向，估价对象所在楼栋位于</w:t>
      </w:r>
      <w:r>
        <w:rPr>
          <w:rFonts w:hint="eastAsia" w:ascii="宋体" w:hAnsi="宋体"/>
          <w:color w:val="000000"/>
          <w:sz w:val="28"/>
          <w:szCs w:val="28"/>
        </w:rPr>
        <w:t>小区内部。</w:t>
      </w:r>
    </w:p>
    <w:p>
      <w:pPr>
        <w:spacing w:line="500" w:lineRule="exact"/>
        <w:ind w:firstLine="560" w:firstLineChars="200"/>
        <w:rPr>
          <w:rFonts w:hint="eastAsia" w:ascii="宋体" w:hAnsi="宋体"/>
          <w:sz w:val="28"/>
        </w:rPr>
      </w:pPr>
      <w:r>
        <w:rPr>
          <w:rFonts w:hint="eastAsia" w:ascii="宋体" w:hAnsi="宋体"/>
          <w:sz w:val="28"/>
        </w:rPr>
        <w:t>2、外部基础设施条件：估价对象所在区域内基础设施完备，现已达到通供水、排水、供电、通路、供热、通讯、通气、宽带网络等市政基础设施。</w:t>
      </w:r>
    </w:p>
    <w:p>
      <w:pPr>
        <w:spacing w:line="500" w:lineRule="exact"/>
        <w:ind w:firstLine="560" w:firstLineChars="200"/>
        <w:rPr>
          <w:rFonts w:hint="eastAsia" w:ascii="宋体" w:hAnsi="宋体" w:eastAsia="宋体"/>
          <w:sz w:val="28"/>
          <w:lang w:eastAsia="zh-CN"/>
        </w:rPr>
      </w:pPr>
      <w:r>
        <w:rPr>
          <w:rFonts w:hint="eastAsia" w:ascii="宋体" w:hAnsi="宋体"/>
          <w:sz w:val="28"/>
        </w:rPr>
        <w:t>3、公共服务设施完备程度：估价对象区域内有平罗县中医医院、平罗县第五幼儿园、平罗县城关六小、平罗中学、平罗农村商业银行、市政广场、平罗人民会堂等，公共服务设施较好</w:t>
      </w:r>
      <w:r>
        <w:rPr>
          <w:rFonts w:hint="eastAsia" w:ascii="宋体" w:hAnsi="宋体"/>
          <w:sz w:val="28"/>
          <w:lang w:eastAsia="zh-CN"/>
        </w:rPr>
        <w:t>。</w:t>
      </w:r>
    </w:p>
    <w:p>
      <w:pPr>
        <w:spacing w:line="500" w:lineRule="exact"/>
        <w:ind w:firstLine="560" w:firstLineChars="200"/>
        <w:rPr>
          <w:rFonts w:hint="eastAsia" w:ascii="宋体" w:hAnsi="宋体"/>
          <w:sz w:val="28"/>
          <w:szCs w:val="28"/>
        </w:rPr>
      </w:pPr>
      <w:r>
        <w:rPr>
          <w:rFonts w:hint="eastAsia" w:ascii="宋体" w:hAnsi="宋体"/>
          <w:sz w:val="28"/>
          <w:szCs w:val="28"/>
        </w:rPr>
        <w:t>4、周围环境状况</w:t>
      </w:r>
    </w:p>
    <w:p>
      <w:pPr>
        <w:spacing w:line="506" w:lineRule="exact"/>
        <w:ind w:firstLine="560" w:firstLineChars="200"/>
        <w:rPr>
          <w:rFonts w:hint="eastAsia" w:ascii="宋体" w:hAnsi="宋体"/>
          <w:sz w:val="28"/>
          <w:szCs w:val="28"/>
        </w:rPr>
      </w:pPr>
      <w:r>
        <w:rPr>
          <w:rFonts w:hint="eastAsia" w:ascii="宋体" w:hAnsi="宋体"/>
          <w:sz w:val="28"/>
          <w:szCs w:val="28"/>
        </w:rPr>
        <w:t>①居住环境情况</w:t>
      </w:r>
    </w:p>
    <w:p>
      <w:pPr>
        <w:spacing w:line="506" w:lineRule="exact"/>
        <w:ind w:firstLine="560" w:firstLineChars="200"/>
        <w:rPr>
          <w:rFonts w:hint="eastAsia" w:ascii="宋体" w:hAnsi="宋体"/>
          <w:sz w:val="28"/>
          <w:szCs w:val="28"/>
        </w:rPr>
      </w:pPr>
      <w:r>
        <w:rPr>
          <w:rFonts w:hint="eastAsia" w:ascii="宋体" w:hAnsi="宋体"/>
          <w:sz w:val="28"/>
          <w:szCs w:val="28"/>
        </w:rPr>
        <w:t>估价对象位于</w:t>
      </w:r>
      <w:r>
        <w:rPr>
          <w:rFonts w:hint="eastAsia" w:ascii="宋体" w:hAnsi="宋体"/>
          <w:sz w:val="28"/>
          <w:szCs w:val="28"/>
          <w:lang w:eastAsia="zh-CN"/>
        </w:rPr>
        <w:t>平罗县建设路北侧银北丽景13幢1单元401号</w:t>
      </w:r>
      <w:r>
        <w:rPr>
          <w:rFonts w:hint="eastAsia" w:ascii="宋体" w:hAnsi="宋体"/>
          <w:sz w:val="28"/>
          <w:szCs w:val="28"/>
        </w:rPr>
        <w:t>，所在小区临</w:t>
      </w:r>
      <w:r>
        <w:rPr>
          <w:rFonts w:hint="eastAsia" w:ascii="宋体" w:hAnsi="宋体"/>
          <w:sz w:val="28"/>
          <w:lang w:eastAsia="zh-CN"/>
        </w:rPr>
        <w:t>阳光城市花园</w:t>
      </w:r>
      <w:r>
        <w:rPr>
          <w:rFonts w:hint="eastAsia" w:ascii="宋体" w:hAnsi="宋体"/>
          <w:sz w:val="28"/>
        </w:rPr>
        <w:t>小区</w:t>
      </w:r>
      <w:r>
        <w:rPr>
          <w:rFonts w:hint="eastAsia" w:ascii="宋体" w:hAnsi="宋体"/>
          <w:sz w:val="28"/>
          <w:szCs w:val="28"/>
        </w:rPr>
        <w:t>，</w:t>
      </w:r>
      <w:r>
        <w:rPr>
          <w:rFonts w:hint="eastAsia" w:ascii="宋体" w:hAnsi="宋体"/>
          <w:sz w:val="28"/>
        </w:rPr>
        <w:t>周围多为住宅区，居民素质和人文环境较好，小区环境较好。</w:t>
      </w:r>
    </w:p>
    <w:p>
      <w:pPr>
        <w:spacing w:line="500" w:lineRule="exact"/>
        <w:ind w:firstLine="560" w:firstLineChars="200"/>
        <w:rPr>
          <w:rFonts w:hint="eastAsia" w:ascii="宋体" w:hAnsi="宋体"/>
          <w:sz w:val="28"/>
          <w:szCs w:val="28"/>
        </w:rPr>
      </w:pPr>
      <w:r>
        <w:rPr>
          <w:rFonts w:hint="eastAsia" w:ascii="宋体" w:hAnsi="宋体"/>
          <w:sz w:val="28"/>
          <w:szCs w:val="28"/>
        </w:rPr>
        <w:t>②大气、水文、声觉、视觉及卫生环境</w:t>
      </w:r>
    </w:p>
    <w:p>
      <w:pPr>
        <w:spacing w:line="500" w:lineRule="exact"/>
        <w:ind w:firstLine="560" w:firstLineChars="200"/>
        <w:rPr>
          <w:rFonts w:hint="eastAsia" w:ascii="宋体" w:hAnsi="宋体"/>
          <w:sz w:val="28"/>
          <w:szCs w:val="28"/>
        </w:rPr>
      </w:pPr>
      <w:r>
        <w:rPr>
          <w:rFonts w:hint="eastAsia" w:ascii="宋体" w:hAnsi="宋体"/>
          <w:sz w:val="28"/>
          <w:szCs w:val="28"/>
        </w:rPr>
        <w:t>估价对象所在区域以商业房和商品房居住区为主，周围空气质量较好，地下水及饮用水均无污染，周边无较大噪声污染，也无辐射、固体废物等污染，周围建筑物规划整齐，视野开阔，其可视性较好；估价对象所在区域生活垃圾集中封闭收集，卫生清扫及时，卫生环境清洁。</w:t>
      </w:r>
    </w:p>
    <w:p>
      <w:pPr>
        <w:spacing w:line="500" w:lineRule="exact"/>
        <w:ind w:firstLine="560" w:firstLineChars="200"/>
        <w:rPr>
          <w:rFonts w:hint="eastAsia" w:ascii="宋体" w:hAnsi="宋体"/>
          <w:sz w:val="28"/>
          <w:szCs w:val="28"/>
        </w:rPr>
      </w:pPr>
      <w:r>
        <w:rPr>
          <w:rFonts w:hint="eastAsia" w:ascii="宋体" w:hAnsi="宋体"/>
          <w:sz w:val="28"/>
          <w:szCs w:val="28"/>
        </w:rPr>
        <w:t>③人文环境</w:t>
      </w:r>
    </w:p>
    <w:p>
      <w:pPr>
        <w:spacing w:line="500" w:lineRule="exact"/>
        <w:ind w:firstLine="560" w:firstLineChars="200"/>
        <w:rPr>
          <w:rFonts w:hint="eastAsia" w:ascii="宋体" w:hAnsi="宋体"/>
          <w:sz w:val="28"/>
          <w:szCs w:val="28"/>
        </w:rPr>
      </w:pPr>
      <w:r>
        <w:rPr>
          <w:rFonts w:hint="eastAsia" w:ascii="宋体" w:hAnsi="宋体"/>
          <w:sz w:val="28"/>
          <w:szCs w:val="28"/>
        </w:rPr>
        <w:t>估价对象所在区域人口数量适中，密度较大，人口素质较高，人文环境较好，周围治安状况良好。</w:t>
      </w:r>
    </w:p>
    <w:p>
      <w:pPr>
        <w:spacing w:line="506" w:lineRule="exact"/>
        <w:ind w:firstLine="560" w:firstLineChars="200"/>
        <w:rPr>
          <w:rFonts w:hint="eastAsia" w:ascii="宋体" w:hAnsi="宋体"/>
          <w:sz w:val="28"/>
        </w:rPr>
      </w:pPr>
      <w:r>
        <w:rPr>
          <w:rFonts w:hint="eastAsia" w:ascii="宋体" w:hAnsi="宋体"/>
          <w:sz w:val="28"/>
          <w:szCs w:val="28"/>
        </w:rPr>
        <w:t>5、临街状况：估价对象所在小</w:t>
      </w:r>
      <w:r>
        <w:rPr>
          <w:rFonts w:hint="eastAsia" w:ascii="宋体" w:hAnsi="宋体"/>
          <w:sz w:val="28"/>
        </w:rPr>
        <w:t>区紧</w:t>
      </w:r>
      <w:r>
        <w:rPr>
          <w:rFonts w:hint="eastAsia" w:ascii="宋体" w:hAnsi="宋体"/>
          <w:sz w:val="28"/>
          <w:szCs w:val="28"/>
        </w:rPr>
        <w:t>临</w:t>
      </w:r>
      <w:r>
        <w:rPr>
          <w:rFonts w:hint="eastAsia" w:ascii="宋体" w:hAnsi="宋体"/>
          <w:sz w:val="28"/>
          <w:lang w:eastAsia="zh-CN"/>
        </w:rPr>
        <w:t>民族大街</w:t>
      </w:r>
      <w:r>
        <w:rPr>
          <w:rFonts w:hint="eastAsia" w:ascii="宋体" w:hAnsi="宋体"/>
          <w:sz w:val="28"/>
        </w:rPr>
        <w:t>，临路状况较好。</w:t>
      </w:r>
    </w:p>
    <w:p>
      <w:pPr>
        <w:spacing w:line="480" w:lineRule="exact"/>
        <w:ind w:firstLine="560" w:firstLineChars="200"/>
        <w:rPr>
          <w:rFonts w:hint="eastAsia" w:ascii="宋体" w:hAnsi="宋体"/>
          <w:sz w:val="28"/>
        </w:rPr>
      </w:pPr>
      <w:r>
        <w:rPr>
          <w:rFonts w:hint="eastAsia" w:ascii="宋体" w:hAnsi="宋体"/>
          <w:sz w:val="28"/>
          <w:lang w:val="en-US" w:eastAsia="zh-CN"/>
        </w:rPr>
        <w:t>6</w:t>
      </w:r>
      <w:r>
        <w:rPr>
          <w:rFonts w:hint="eastAsia" w:ascii="宋体" w:hAnsi="宋体"/>
          <w:sz w:val="28"/>
        </w:rPr>
        <w:t>、交通状况：估价对象周围有</w:t>
      </w:r>
      <w:r>
        <w:rPr>
          <w:rFonts w:hint="eastAsia" w:ascii="宋体" w:hAnsi="宋体"/>
          <w:sz w:val="28"/>
          <w:lang w:val="en-US" w:eastAsia="zh-CN"/>
        </w:rPr>
        <w:t>106</w:t>
      </w:r>
      <w:r>
        <w:rPr>
          <w:rFonts w:hint="eastAsia" w:ascii="宋体" w:hAnsi="宋体"/>
          <w:sz w:val="28"/>
        </w:rPr>
        <w:t>公交车通过，距离交通站点（</w:t>
      </w:r>
      <w:r>
        <w:rPr>
          <w:rFonts w:hint="eastAsia" w:ascii="宋体" w:hAnsi="宋体"/>
          <w:sz w:val="28"/>
          <w:lang w:eastAsia="zh-CN"/>
        </w:rPr>
        <w:t>民族街</w:t>
      </w:r>
      <w:r>
        <w:rPr>
          <w:rFonts w:hint="eastAsia" w:ascii="宋体" w:hAnsi="宋体"/>
          <w:sz w:val="28"/>
        </w:rPr>
        <w:t>）较近，交通条件较好，区域内有地停车场及公共停车位可停放车辆。</w:t>
      </w:r>
    </w:p>
    <w:p>
      <w:pPr>
        <w:pStyle w:val="2"/>
        <w:spacing w:before="0" w:after="0" w:line="480" w:lineRule="exact"/>
        <w:ind w:firstLine="562" w:firstLineChars="200"/>
        <w:rPr>
          <w:rFonts w:hint="eastAsia"/>
          <w:sz w:val="28"/>
          <w:szCs w:val="28"/>
        </w:rPr>
      </w:pPr>
      <w:bookmarkStart w:id="16" w:name="_Toc61938698"/>
      <w:bookmarkStart w:id="17" w:name="_Toc27823893"/>
      <w:r>
        <w:rPr>
          <w:rFonts w:hint="eastAsia"/>
          <w:sz w:val="28"/>
          <w:szCs w:val="28"/>
        </w:rPr>
        <w:t>五、价值时点：</w:t>
      </w:r>
      <w:bookmarkEnd w:id="16"/>
      <w:bookmarkEnd w:id="17"/>
    </w:p>
    <w:p>
      <w:pPr>
        <w:spacing w:line="480" w:lineRule="exact"/>
        <w:ind w:firstLine="560" w:firstLineChars="200"/>
        <w:rPr>
          <w:rFonts w:hint="eastAsia" w:ascii="宋体" w:hAnsi="宋体"/>
          <w:sz w:val="28"/>
          <w:szCs w:val="28"/>
        </w:rPr>
      </w:pPr>
      <w:r>
        <w:rPr>
          <w:rFonts w:hint="eastAsia" w:ascii="宋体" w:hAnsi="宋体"/>
          <w:sz w:val="28"/>
          <w:szCs w:val="28"/>
          <w:lang w:eastAsia="zh-CN"/>
        </w:rPr>
        <w:t>2021年7月16日。</w:t>
      </w:r>
      <w:r>
        <w:rPr>
          <w:rFonts w:hint="eastAsia" w:ascii="宋体" w:hAnsi="宋体"/>
          <w:sz w:val="28"/>
          <w:szCs w:val="28"/>
        </w:rPr>
        <w:t>（</w:t>
      </w:r>
      <w:r>
        <w:rPr>
          <w:rFonts w:hint="eastAsia" w:ascii="宋体" w:hAnsi="宋体"/>
          <w:color w:val="000000"/>
          <w:spacing w:val="6"/>
          <w:sz w:val="28"/>
          <w:szCs w:val="28"/>
          <w:lang w:eastAsia="zh-CN"/>
        </w:rPr>
        <w:t>按</w:t>
      </w:r>
      <w:r>
        <w:rPr>
          <w:rFonts w:hint="eastAsia" w:ascii="宋体" w:hAnsi="宋体"/>
          <w:color w:val="000000"/>
          <w:spacing w:val="6"/>
          <w:sz w:val="28"/>
          <w:szCs w:val="28"/>
        </w:rPr>
        <w:t>估价人员实地查勘</w:t>
      </w:r>
      <w:r>
        <w:rPr>
          <w:rFonts w:hint="eastAsia" w:ascii="宋体" w:hAnsi="宋体"/>
          <w:color w:val="000000"/>
          <w:spacing w:val="6"/>
          <w:sz w:val="28"/>
          <w:szCs w:val="28"/>
          <w:lang w:eastAsia="zh-CN"/>
        </w:rPr>
        <w:t>之日</w:t>
      </w:r>
      <w:r>
        <w:rPr>
          <w:rFonts w:hint="eastAsia" w:ascii="宋体" w:hAnsi="宋体"/>
          <w:color w:val="000000"/>
          <w:spacing w:val="6"/>
          <w:sz w:val="28"/>
          <w:szCs w:val="28"/>
        </w:rPr>
        <w:t>确定</w:t>
      </w:r>
      <w:r>
        <w:rPr>
          <w:rFonts w:hint="eastAsia" w:ascii="宋体" w:hAnsi="宋体"/>
          <w:sz w:val="28"/>
          <w:szCs w:val="28"/>
        </w:rPr>
        <w:t>）</w:t>
      </w:r>
    </w:p>
    <w:p>
      <w:pPr>
        <w:pStyle w:val="2"/>
        <w:spacing w:before="0" w:after="0" w:line="480" w:lineRule="exact"/>
        <w:ind w:firstLine="562" w:firstLineChars="200"/>
        <w:rPr>
          <w:rFonts w:hint="eastAsia"/>
          <w:sz w:val="28"/>
          <w:szCs w:val="28"/>
        </w:rPr>
      </w:pPr>
      <w:bookmarkStart w:id="18" w:name="_Toc27823894"/>
      <w:bookmarkStart w:id="19" w:name="_Toc61938699"/>
      <w:r>
        <w:rPr>
          <w:rFonts w:hint="eastAsia"/>
          <w:sz w:val="28"/>
          <w:szCs w:val="28"/>
        </w:rPr>
        <w:t>六、价值</w:t>
      </w:r>
      <w:r>
        <w:rPr>
          <w:rFonts w:hint="eastAsia"/>
          <w:sz w:val="28"/>
          <w:szCs w:val="28"/>
          <w:lang w:eastAsia="zh-CN"/>
        </w:rPr>
        <w:t>定义</w:t>
      </w:r>
      <w:r>
        <w:rPr>
          <w:rFonts w:hint="eastAsia"/>
          <w:sz w:val="28"/>
          <w:szCs w:val="28"/>
        </w:rPr>
        <w:t>：</w:t>
      </w:r>
      <w:bookmarkEnd w:id="18"/>
      <w:bookmarkEnd w:id="19"/>
    </w:p>
    <w:p>
      <w:pPr>
        <w:pStyle w:val="3"/>
        <w:spacing w:line="500" w:lineRule="exact"/>
        <w:ind w:firstLine="560" w:firstLineChars="200"/>
        <w:rPr>
          <w:rFonts w:hint="eastAsia"/>
          <w:color w:val="000000"/>
        </w:rPr>
      </w:pPr>
      <w:r>
        <w:rPr>
          <w:rFonts w:hint="eastAsia"/>
        </w:rPr>
        <w:t>本报告所称“市场价值”是指：估价对象经适当营销后，由熟悉情况、谨慎行事且不受强迫的交易双方，以公平交易方式在价值时点自愿</w:t>
      </w:r>
      <w:r>
        <w:rPr>
          <w:rFonts w:hint="eastAsia"/>
          <w:color w:val="000000"/>
        </w:rPr>
        <w:t>进行交易的金额。</w:t>
      </w:r>
    </w:p>
    <w:p>
      <w:pPr>
        <w:pStyle w:val="3"/>
        <w:spacing w:line="500" w:lineRule="exact"/>
        <w:ind w:firstLine="560" w:firstLineChars="200"/>
        <w:rPr>
          <w:rFonts w:hint="eastAsia"/>
          <w:color w:val="000000"/>
        </w:rPr>
      </w:pPr>
      <w:r>
        <w:rPr>
          <w:rFonts w:hint="eastAsia"/>
          <w:color w:val="000000"/>
        </w:rPr>
        <w:t>一是适当营销，即估价对象以适当的方式在市场上进行了展示，展示的时间长度可能随着市场状况而变化，但足以使估价对象引起一定数量的潜在买者的注意。</w:t>
      </w:r>
    </w:p>
    <w:p>
      <w:pPr>
        <w:pStyle w:val="3"/>
        <w:spacing w:line="500" w:lineRule="exact"/>
        <w:ind w:firstLine="560" w:firstLineChars="200"/>
        <w:rPr>
          <w:rFonts w:hint="eastAsia"/>
          <w:color w:val="000000"/>
        </w:rPr>
      </w:pPr>
      <w:r>
        <w:rPr>
          <w:rFonts w:hint="eastAsia"/>
          <w:color w:val="000000"/>
        </w:rPr>
        <w:t>二是熟悉情况，即买方和卖方都了解估价对象并熟悉市场行情，买方和卖方都是冷静、理性、谨慎的，没有感情用事。</w:t>
      </w:r>
    </w:p>
    <w:p>
      <w:pPr>
        <w:pStyle w:val="3"/>
        <w:spacing w:line="500" w:lineRule="exact"/>
        <w:ind w:firstLine="560" w:firstLineChars="200"/>
        <w:rPr>
          <w:rFonts w:hint="eastAsia"/>
          <w:color w:val="000000"/>
        </w:rPr>
      </w:pPr>
      <w:r>
        <w:rPr>
          <w:rFonts w:hint="eastAsia"/>
          <w:color w:val="000000"/>
        </w:rPr>
        <w:t>三是不受强迫，即买方和卖方都是出于自发需要进行估价对象交易的，买方不是急于购买（不是非买不可），卖方不是急于出售（不是非卖不可），</w:t>
      </w:r>
      <w:r>
        <w:rPr>
          <w:rFonts w:hint="eastAsia"/>
        </w:rPr>
        <w:t>同时买方不是被迫地从</w:t>
      </w:r>
      <w:r>
        <w:rPr>
          <w:rFonts w:hint="eastAsia"/>
          <w:color w:val="000000"/>
        </w:rPr>
        <w:t>特定的卖方那里购买估价对象，卖方不是被迫地将估价对象卖给特定的买方。</w:t>
      </w:r>
    </w:p>
    <w:p>
      <w:pPr>
        <w:pStyle w:val="3"/>
        <w:spacing w:line="500" w:lineRule="exact"/>
        <w:ind w:firstLine="560" w:firstLineChars="200"/>
        <w:rPr>
          <w:rFonts w:hint="eastAsia"/>
          <w:color w:val="000000"/>
          <w:szCs w:val="28"/>
        </w:rPr>
      </w:pPr>
      <w:r>
        <w:rPr>
          <w:rFonts w:hint="eastAsia"/>
          <w:color w:val="000000"/>
          <w:szCs w:val="28"/>
        </w:rPr>
        <w:t>四是公平交易，即买方和卖方都是出于自己利益的需要进行估价对象交易的，没有诸如亲友之间、母子公司之间、业主与租户之间等特殊或特别的关系，不是关联交易。</w:t>
      </w:r>
    </w:p>
    <w:p>
      <w:pPr>
        <w:pStyle w:val="2"/>
        <w:spacing w:before="0" w:after="0" w:line="500" w:lineRule="exact"/>
        <w:ind w:firstLine="562" w:firstLineChars="200"/>
        <w:rPr>
          <w:rFonts w:hint="eastAsia"/>
          <w:sz w:val="28"/>
          <w:szCs w:val="28"/>
        </w:rPr>
      </w:pPr>
      <w:bookmarkStart w:id="20" w:name="_Toc27823895"/>
      <w:bookmarkStart w:id="21" w:name="_Toc61938700"/>
      <w:r>
        <w:rPr>
          <w:rFonts w:hint="eastAsia"/>
          <w:sz w:val="28"/>
          <w:szCs w:val="28"/>
        </w:rPr>
        <w:t>七、估价依据：</w:t>
      </w:r>
      <w:bookmarkEnd w:id="20"/>
      <w:bookmarkEnd w:id="21"/>
    </w:p>
    <w:p>
      <w:pPr>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sz w:val="28"/>
          <w:szCs w:val="28"/>
        </w:rPr>
      </w:pPr>
      <w:r>
        <w:rPr>
          <w:rFonts w:hint="eastAsia" w:ascii="宋体" w:hAnsi="宋体"/>
          <w:sz w:val="28"/>
          <w:szCs w:val="28"/>
        </w:rPr>
        <w:t>1、估价行为依据：</w:t>
      </w:r>
    </w:p>
    <w:p>
      <w:pPr>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sz w:val="28"/>
          <w:szCs w:val="28"/>
        </w:rPr>
      </w:pPr>
      <w:r>
        <w:rPr>
          <w:rFonts w:hint="eastAsia" w:ascii="宋体" w:hAnsi="宋体"/>
          <w:sz w:val="28"/>
          <w:szCs w:val="28"/>
        </w:rPr>
        <w:t>《</w:t>
      </w:r>
      <w:r>
        <w:rPr>
          <w:rFonts w:hint="eastAsia" w:ascii="宋体" w:hAnsi="宋体"/>
          <w:sz w:val="28"/>
          <w:szCs w:val="28"/>
          <w:lang w:eastAsia="zh-CN"/>
        </w:rPr>
        <w:t>平罗县人民法院</w:t>
      </w:r>
      <w:r>
        <w:rPr>
          <w:rFonts w:hint="eastAsia" w:ascii="宋体" w:hAnsi="宋体"/>
          <w:sz w:val="28"/>
          <w:szCs w:val="28"/>
        </w:rPr>
        <w:t>评估委托书》：（20</w:t>
      </w:r>
      <w:r>
        <w:rPr>
          <w:rFonts w:hint="eastAsia" w:ascii="宋体" w:hAnsi="宋体"/>
          <w:sz w:val="28"/>
          <w:szCs w:val="28"/>
          <w:lang w:val="en-US" w:eastAsia="zh-CN"/>
        </w:rPr>
        <w:t>21</w:t>
      </w:r>
      <w:r>
        <w:rPr>
          <w:rFonts w:hint="eastAsia" w:ascii="宋体" w:hAnsi="宋体"/>
          <w:sz w:val="28"/>
          <w:szCs w:val="28"/>
        </w:rPr>
        <w:t>）宁</w:t>
      </w:r>
      <w:r>
        <w:rPr>
          <w:rFonts w:hint="eastAsia" w:ascii="宋体" w:hAnsi="宋体"/>
          <w:sz w:val="28"/>
          <w:szCs w:val="28"/>
          <w:lang w:val="en-US" w:eastAsia="zh-CN"/>
        </w:rPr>
        <w:t>0221</w:t>
      </w:r>
      <w:r>
        <w:rPr>
          <w:rFonts w:hint="eastAsia" w:ascii="宋体" w:hAnsi="宋体"/>
          <w:sz w:val="28"/>
          <w:szCs w:val="28"/>
          <w:lang w:eastAsia="zh-CN"/>
        </w:rPr>
        <w:t>执</w:t>
      </w:r>
      <w:r>
        <w:rPr>
          <w:rFonts w:hint="eastAsia" w:ascii="宋体" w:hAnsi="宋体"/>
          <w:sz w:val="28"/>
          <w:szCs w:val="28"/>
          <w:lang w:val="en-US" w:eastAsia="zh-CN"/>
        </w:rPr>
        <w:t>1509</w:t>
      </w:r>
      <w:r>
        <w:rPr>
          <w:rFonts w:hint="eastAsia" w:ascii="宋体" w:hAnsi="宋体"/>
          <w:sz w:val="28"/>
          <w:szCs w:val="28"/>
        </w:rPr>
        <w:t>号；</w:t>
      </w:r>
    </w:p>
    <w:p>
      <w:pPr>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sz w:val="28"/>
          <w:szCs w:val="28"/>
        </w:rPr>
      </w:pPr>
      <w:r>
        <w:rPr>
          <w:rFonts w:hint="eastAsia" w:ascii="宋体" w:hAnsi="宋体"/>
          <w:sz w:val="28"/>
          <w:szCs w:val="28"/>
        </w:rPr>
        <w:t>2、估价法律法规及政策依据：</w:t>
      </w:r>
    </w:p>
    <w:p>
      <w:pPr>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sz w:val="28"/>
          <w:szCs w:val="28"/>
        </w:rPr>
      </w:pPr>
      <w:r>
        <w:rPr>
          <w:rFonts w:hint="eastAsia" w:ascii="宋体" w:hAnsi="宋体"/>
          <w:sz w:val="28"/>
          <w:szCs w:val="28"/>
        </w:rPr>
        <w:t>⑴《中华人民共和国民法典》中华人民共和国主席令【2020】第45号（2021年1月1日起施行）；</w:t>
      </w:r>
    </w:p>
    <w:p>
      <w:pPr>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sz w:val="28"/>
          <w:szCs w:val="28"/>
        </w:rPr>
      </w:pPr>
      <w:r>
        <w:rPr>
          <w:rFonts w:hint="eastAsia" w:ascii="宋体" w:hAnsi="宋体"/>
          <w:sz w:val="28"/>
          <w:szCs w:val="28"/>
        </w:rPr>
        <w:t>⑵《中华人民共和国城市房地产管理法》中华人民共和国主席令【2007】第72号（根据2019年8月26日第十三届全国人民代表大会常务委员会第十二次会议《关于修改〈中华人民共和国土地管理法〉、〈中华人民共和国城市房地产管理法〉的决定》第三次修正）；</w:t>
      </w:r>
    </w:p>
    <w:p>
      <w:pPr>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sz w:val="28"/>
          <w:szCs w:val="28"/>
        </w:rPr>
      </w:pPr>
      <w:r>
        <w:rPr>
          <w:rFonts w:hint="eastAsia" w:ascii="宋体" w:hAnsi="宋体"/>
          <w:sz w:val="28"/>
          <w:szCs w:val="28"/>
        </w:rPr>
        <w:t>⑶《中华人民共和国土地管理法》中华人民共和国主席令【2004】第28号（根据2019年8月26日第十三届全国人民代表大会常务委员会第十二次会议《关于修改〈中华人民共和国土地管理法〉、〈中华人民共和国城市房地产管理法〉的决定》第三次修正）；</w:t>
      </w:r>
    </w:p>
    <w:p>
      <w:pPr>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sz w:val="28"/>
          <w:szCs w:val="28"/>
        </w:rPr>
      </w:pPr>
      <w:r>
        <w:rPr>
          <w:rFonts w:hint="eastAsia" w:ascii="宋体" w:hAnsi="宋体"/>
          <w:sz w:val="28"/>
          <w:szCs w:val="28"/>
        </w:rPr>
        <w:t>⑷《中华人民共和国资产评估法》中华人民共和国主席令【2016】第46号（2016年12月1日起施行）；</w:t>
      </w:r>
    </w:p>
    <w:p>
      <w:pPr>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sz w:val="28"/>
          <w:szCs w:val="28"/>
        </w:rPr>
      </w:pPr>
      <w:r>
        <w:rPr>
          <w:rFonts w:hint="eastAsia" w:ascii="宋体" w:hAnsi="宋体"/>
          <w:sz w:val="28"/>
          <w:szCs w:val="28"/>
        </w:rPr>
        <w:t>⑸《城市房地产转让管理规定》中华人民共和国建设部第96号令；</w:t>
      </w:r>
    </w:p>
    <w:p>
      <w:pPr>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sz w:val="28"/>
          <w:szCs w:val="28"/>
        </w:rPr>
      </w:pPr>
      <w:r>
        <w:rPr>
          <w:rFonts w:ascii="宋体" w:hAnsi="宋体"/>
          <w:sz w:val="28"/>
          <w:szCs w:val="28"/>
        </w:rPr>
        <w:fldChar w:fldCharType="begin"/>
      </w:r>
      <w:r>
        <w:rPr>
          <w:rFonts w:ascii="宋体" w:hAnsi="宋体"/>
          <w:sz w:val="28"/>
          <w:szCs w:val="28"/>
        </w:rPr>
        <w:instrText xml:space="preserve"> </w:instrText>
      </w:r>
      <w:r>
        <w:rPr>
          <w:rFonts w:hint="eastAsia" w:ascii="宋体" w:hAnsi="宋体"/>
          <w:sz w:val="28"/>
          <w:szCs w:val="28"/>
        </w:rPr>
        <w:instrText xml:space="preserve">= 6 \* GB2</w:instrText>
      </w:r>
      <w:r>
        <w:rPr>
          <w:rFonts w:ascii="宋体" w:hAnsi="宋体"/>
          <w:sz w:val="28"/>
          <w:szCs w:val="28"/>
        </w:rPr>
        <w:instrText xml:space="preserve"> </w:instrText>
      </w:r>
      <w:r>
        <w:rPr>
          <w:rFonts w:ascii="宋体" w:hAnsi="宋体"/>
          <w:sz w:val="28"/>
          <w:szCs w:val="28"/>
        </w:rPr>
        <w:fldChar w:fldCharType="separate"/>
      </w:r>
      <w:r>
        <w:rPr>
          <w:rFonts w:hint="eastAsia" w:ascii="宋体" w:hAnsi="宋体"/>
          <w:sz w:val="28"/>
          <w:szCs w:val="28"/>
        </w:rPr>
        <w:t>⑹</w:t>
      </w:r>
      <w:r>
        <w:rPr>
          <w:rFonts w:ascii="宋体" w:hAnsi="宋体"/>
          <w:sz w:val="28"/>
          <w:szCs w:val="28"/>
        </w:rPr>
        <w:fldChar w:fldCharType="end"/>
      </w:r>
      <w:r>
        <w:rPr>
          <w:rFonts w:hint="eastAsia" w:ascii="宋体" w:hAnsi="宋体"/>
          <w:sz w:val="28"/>
          <w:szCs w:val="28"/>
        </w:rPr>
        <w:t>《商品房屋租赁管理办法》中华人民共和国住房和城乡建设部令第6号；</w:t>
      </w:r>
    </w:p>
    <w:p>
      <w:pPr>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sz w:val="28"/>
          <w:szCs w:val="28"/>
        </w:rPr>
      </w:pPr>
      <w:r>
        <w:rPr>
          <w:rFonts w:ascii="宋体" w:hAnsi="宋体"/>
          <w:sz w:val="28"/>
          <w:szCs w:val="28"/>
        </w:rPr>
        <w:fldChar w:fldCharType="begin"/>
      </w:r>
      <w:r>
        <w:rPr>
          <w:rFonts w:ascii="宋体" w:hAnsi="宋体"/>
          <w:sz w:val="28"/>
          <w:szCs w:val="28"/>
        </w:rPr>
        <w:instrText xml:space="preserve"> =7 \* GB2 </w:instrText>
      </w:r>
      <w:r>
        <w:rPr>
          <w:rFonts w:ascii="宋体" w:hAnsi="宋体"/>
          <w:sz w:val="28"/>
          <w:szCs w:val="28"/>
        </w:rPr>
        <w:fldChar w:fldCharType="separate"/>
      </w:r>
      <w:r>
        <w:rPr>
          <w:rFonts w:ascii="宋体" w:hAnsi="宋体"/>
          <w:sz w:val="28"/>
          <w:szCs w:val="28"/>
        </w:rPr>
        <w:t>⑺</w:t>
      </w:r>
      <w:r>
        <w:rPr>
          <w:rFonts w:ascii="宋体" w:hAnsi="宋体"/>
          <w:sz w:val="28"/>
          <w:szCs w:val="28"/>
        </w:rPr>
        <w:fldChar w:fldCharType="end"/>
      </w:r>
      <w:r>
        <w:rPr>
          <w:rFonts w:hint="eastAsia" w:ascii="宋体" w:hAnsi="宋体"/>
          <w:sz w:val="28"/>
          <w:szCs w:val="28"/>
        </w:rPr>
        <w:t>《最高人民法院关于人民法院确定财产处置参考价若干问题的规定》（法释【2018】15号）；</w:t>
      </w:r>
    </w:p>
    <w:p>
      <w:pPr>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sz w:val="28"/>
          <w:szCs w:val="28"/>
        </w:rPr>
      </w:pPr>
      <w:r>
        <w:rPr>
          <w:rFonts w:ascii="宋体" w:hAnsi="宋体"/>
          <w:sz w:val="28"/>
          <w:szCs w:val="28"/>
        </w:rPr>
        <w:fldChar w:fldCharType="begin"/>
      </w:r>
      <w:r>
        <w:rPr>
          <w:rFonts w:ascii="宋体" w:hAnsi="宋体"/>
          <w:sz w:val="28"/>
          <w:szCs w:val="28"/>
        </w:rPr>
        <w:instrText xml:space="preserve"> =8 \* GB2 </w:instrText>
      </w:r>
      <w:r>
        <w:rPr>
          <w:rFonts w:ascii="宋体" w:hAnsi="宋体"/>
          <w:sz w:val="28"/>
          <w:szCs w:val="28"/>
        </w:rPr>
        <w:fldChar w:fldCharType="separate"/>
      </w:r>
      <w:r>
        <w:rPr>
          <w:rFonts w:ascii="宋体" w:hAnsi="宋体"/>
          <w:sz w:val="28"/>
          <w:szCs w:val="28"/>
        </w:rPr>
        <w:t>⑻</w:t>
      </w:r>
      <w:r>
        <w:rPr>
          <w:rFonts w:ascii="宋体" w:hAnsi="宋体"/>
          <w:sz w:val="28"/>
          <w:szCs w:val="28"/>
        </w:rPr>
        <w:fldChar w:fldCharType="end"/>
      </w:r>
      <w:r>
        <w:rPr>
          <w:rFonts w:hint="eastAsia" w:ascii="宋体" w:hAnsi="宋体"/>
          <w:sz w:val="28"/>
          <w:szCs w:val="28"/>
        </w:rPr>
        <w:t>关于印发《人民法院委托评估工作规范》的通知（法办【2018】273号）；</w:t>
      </w:r>
    </w:p>
    <w:p>
      <w:pPr>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sz w:val="28"/>
          <w:szCs w:val="28"/>
        </w:rPr>
      </w:pPr>
      <w:r>
        <w:rPr>
          <w:rFonts w:ascii="宋体" w:hAnsi="宋体"/>
          <w:sz w:val="28"/>
          <w:szCs w:val="28"/>
        </w:rPr>
        <w:fldChar w:fldCharType="begin"/>
      </w:r>
      <w:r>
        <w:rPr>
          <w:rFonts w:ascii="宋体" w:hAnsi="宋体"/>
          <w:sz w:val="28"/>
          <w:szCs w:val="28"/>
        </w:rPr>
        <w:instrText xml:space="preserve"> =9 \* GB2 </w:instrText>
      </w:r>
      <w:r>
        <w:rPr>
          <w:rFonts w:ascii="宋体" w:hAnsi="宋体"/>
          <w:sz w:val="28"/>
          <w:szCs w:val="28"/>
        </w:rPr>
        <w:fldChar w:fldCharType="separate"/>
      </w:r>
      <w:r>
        <w:rPr>
          <w:rFonts w:ascii="宋体" w:hAnsi="宋体"/>
          <w:sz w:val="28"/>
          <w:szCs w:val="28"/>
        </w:rPr>
        <w:t>⑼</w:t>
      </w:r>
      <w:r>
        <w:rPr>
          <w:rFonts w:ascii="宋体" w:hAnsi="宋体"/>
          <w:sz w:val="28"/>
          <w:szCs w:val="28"/>
        </w:rPr>
        <w:fldChar w:fldCharType="end"/>
      </w:r>
      <w:r>
        <w:rPr>
          <w:rFonts w:hint="eastAsia" w:ascii="宋体" w:hAnsi="宋体"/>
          <w:sz w:val="28"/>
          <w:szCs w:val="28"/>
        </w:rPr>
        <w:t>最高人民法院《关于人民法院委托评估、拍卖和变卖工作的若干规定》法释[2011]21号；</w:t>
      </w:r>
    </w:p>
    <w:p>
      <w:pPr>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sz w:val="28"/>
          <w:szCs w:val="28"/>
        </w:rPr>
      </w:pPr>
      <w:r>
        <w:rPr>
          <w:rFonts w:ascii="宋体" w:hAnsi="宋体"/>
          <w:sz w:val="28"/>
          <w:szCs w:val="28"/>
        </w:rPr>
        <w:fldChar w:fldCharType="begin"/>
      </w:r>
      <w:r>
        <w:rPr>
          <w:rFonts w:ascii="宋体" w:hAnsi="宋体"/>
          <w:sz w:val="28"/>
          <w:szCs w:val="28"/>
        </w:rPr>
        <w:instrText xml:space="preserve"> =10 \* GB2 </w:instrText>
      </w:r>
      <w:r>
        <w:rPr>
          <w:rFonts w:ascii="宋体" w:hAnsi="宋体"/>
          <w:sz w:val="28"/>
          <w:szCs w:val="28"/>
        </w:rPr>
        <w:fldChar w:fldCharType="separate"/>
      </w:r>
      <w:r>
        <w:rPr>
          <w:rFonts w:ascii="宋体" w:hAnsi="宋体"/>
          <w:sz w:val="28"/>
          <w:szCs w:val="28"/>
        </w:rPr>
        <w:t>⑽</w:t>
      </w:r>
      <w:r>
        <w:rPr>
          <w:rFonts w:ascii="宋体" w:hAnsi="宋体"/>
          <w:sz w:val="28"/>
          <w:szCs w:val="28"/>
        </w:rPr>
        <w:fldChar w:fldCharType="end"/>
      </w:r>
      <w:r>
        <w:rPr>
          <w:rFonts w:hint="eastAsia" w:ascii="宋体" w:hAnsi="宋体"/>
          <w:sz w:val="28"/>
          <w:szCs w:val="28"/>
        </w:rPr>
        <w:t xml:space="preserve">《涉执房地产处置司法评估指导意见》(内部研讨稿)； </w:t>
      </w:r>
    </w:p>
    <w:p>
      <w:pPr>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sz w:val="28"/>
          <w:szCs w:val="28"/>
        </w:rPr>
      </w:pPr>
      <w:r>
        <w:rPr>
          <w:rFonts w:ascii="宋体" w:hAnsi="宋体"/>
          <w:sz w:val="28"/>
          <w:szCs w:val="28"/>
        </w:rPr>
        <w:fldChar w:fldCharType="begin"/>
      </w:r>
      <w:r>
        <w:rPr>
          <w:rFonts w:ascii="宋体" w:hAnsi="宋体"/>
          <w:sz w:val="28"/>
          <w:szCs w:val="28"/>
        </w:rPr>
        <w:instrText xml:space="preserve"> =11 \* GB2 </w:instrText>
      </w:r>
      <w:r>
        <w:rPr>
          <w:rFonts w:ascii="宋体" w:hAnsi="宋体"/>
          <w:sz w:val="28"/>
          <w:szCs w:val="28"/>
        </w:rPr>
        <w:fldChar w:fldCharType="separate"/>
      </w:r>
      <w:r>
        <w:rPr>
          <w:rFonts w:ascii="宋体" w:hAnsi="宋体"/>
          <w:sz w:val="28"/>
          <w:szCs w:val="28"/>
        </w:rPr>
        <w:t>⑾</w:t>
      </w:r>
      <w:r>
        <w:rPr>
          <w:rFonts w:ascii="宋体" w:hAnsi="宋体"/>
          <w:sz w:val="28"/>
          <w:szCs w:val="28"/>
        </w:rPr>
        <w:fldChar w:fldCharType="end"/>
      </w:r>
      <w:r>
        <w:rPr>
          <w:rFonts w:hint="eastAsia" w:ascii="宋体" w:hAnsi="宋体"/>
          <w:sz w:val="28"/>
          <w:szCs w:val="28"/>
        </w:rPr>
        <w:t>国务院、住房和城乡建设部、自然资源部（原国土资源部）、宁夏回族自治区有关部门公布的其它法规政策文件；</w:t>
      </w:r>
    </w:p>
    <w:p>
      <w:pPr>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sz w:val="28"/>
          <w:szCs w:val="28"/>
        </w:rPr>
      </w:pPr>
      <w:r>
        <w:rPr>
          <w:rFonts w:hint="eastAsia" w:ascii="宋体" w:hAnsi="宋体"/>
          <w:sz w:val="28"/>
          <w:szCs w:val="28"/>
        </w:rPr>
        <w:t>3、技术标准、规程及规范：</w:t>
      </w:r>
    </w:p>
    <w:p>
      <w:pPr>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sz w:val="28"/>
          <w:szCs w:val="28"/>
        </w:rPr>
      </w:pPr>
      <w:r>
        <w:rPr>
          <w:rFonts w:ascii="宋体" w:hAnsi="宋体"/>
          <w:sz w:val="28"/>
          <w:szCs w:val="28"/>
        </w:rPr>
        <w:fldChar w:fldCharType="begin"/>
      </w:r>
      <w:r>
        <w:rPr>
          <w:rFonts w:ascii="宋体" w:hAnsi="宋体"/>
          <w:sz w:val="28"/>
          <w:szCs w:val="28"/>
        </w:rPr>
        <w:instrText xml:space="preserve"> </w:instrText>
      </w:r>
      <w:r>
        <w:rPr>
          <w:rFonts w:hint="eastAsia" w:ascii="宋体" w:hAnsi="宋体"/>
          <w:sz w:val="28"/>
          <w:szCs w:val="28"/>
        </w:rPr>
        <w:instrText xml:space="preserve">= 1 \* GB2</w:instrText>
      </w:r>
      <w:r>
        <w:rPr>
          <w:rFonts w:ascii="宋体" w:hAnsi="宋体"/>
          <w:sz w:val="28"/>
          <w:szCs w:val="28"/>
        </w:rPr>
        <w:instrText xml:space="preserve"> </w:instrText>
      </w:r>
      <w:r>
        <w:rPr>
          <w:rFonts w:ascii="宋体" w:hAnsi="宋体"/>
          <w:sz w:val="28"/>
          <w:szCs w:val="28"/>
        </w:rPr>
        <w:fldChar w:fldCharType="separate"/>
      </w:r>
      <w:r>
        <w:rPr>
          <w:rFonts w:hint="eastAsia" w:ascii="宋体" w:hAnsi="宋体"/>
          <w:sz w:val="28"/>
          <w:szCs w:val="28"/>
        </w:rPr>
        <w:t>⑴</w:t>
      </w:r>
      <w:r>
        <w:rPr>
          <w:rFonts w:ascii="宋体" w:hAnsi="宋体"/>
          <w:sz w:val="28"/>
          <w:szCs w:val="28"/>
        </w:rPr>
        <w:fldChar w:fldCharType="end"/>
      </w:r>
      <w:r>
        <w:rPr>
          <w:rFonts w:hint="eastAsia" w:ascii="宋体" w:hAnsi="宋体"/>
          <w:sz w:val="28"/>
          <w:szCs w:val="28"/>
        </w:rPr>
        <w:t>中华人民共和国国家标准《房地产估价规范》（GB/T50291-2015）；</w:t>
      </w:r>
    </w:p>
    <w:p>
      <w:pPr>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sz w:val="28"/>
          <w:szCs w:val="28"/>
        </w:rPr>
      </w:pPr>
      <w:r>
        <w:rPr>
          <w:rFonts w:ascii="宋体" w:hAnsi="宋体"/>
          <w:sz w:val="28"/>
          <w:szCs w:val="28"/>
        </w:rPr>
        <w:fldChar w:fldCharType="begin"/>
      </w:r>
      <w:r>
        <w:rPr>
          <w:rFonts w:ascii="宋体" w:hAnsi="宋体"/>
          <w:sz w:val="28"/>
          <w:szCs w:val="28"/>
        </w:rPr>
        <w:instrText xml:space="preserve"> =2 \* GB2 </w:instrText>
      </w:r>
      <w:r>
        <w:rPr>
          <w:rFonts w:ascii="宋体" w:hAnsi="宋体"/>
          <w:sz w:val="28"/>
          <w:szCs w:val="28"/>
        </w:rPr>
        <w:fldChar w:fldCharType="separate"/>
      </w:r>
      <w:r>
        <w:rPr>
          <w:rFonts w:ascii="宋体" w:hAnsi="宋体"/>
          <w:sz w:val="28"/>
          <w:szCs w:val="28"/>
        </w:rPr>
        <w:t>⑵</w:t>
      </w:r>
      <w:r>
        <w:rPr>
          <w:rFonts w:ascii="宋体" w:hAnsi="宋体"/>
          <w:sz w:val="28"/>
          <w:szCs w:val="28"/>
        </w:rPr>
        <w:fldChar w:fldCharType="end"/>
      </w:r>
      <w:r>
        <w:rPr>
          <w:rFonts w:hint="eastAsia" w:ascii="宋体" w:hAnsi="宋体"/>
          <w:sz w:val="28"/>
          <w:szCs w:val="28"/>
        </w:rPr>
        <w:t>《房地产估价基本术语标准》（GB/T50899-2013）；</w:t>
      </w:r>
    </w:p>
    <w:p>
      <w:pPr>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sz w:val="28"/>
          <w:szCs w:val="28"/>
        </w:rPr>
      </w:pPr>
      <w:r>
        <w:rPr>
          <w:rFonts w:hint="eastAsia" w:ascii="宋体" w:hAnsi="宋体"/>
          <w:sz w:val="28"/>
          <w:szCs w:val="28"/>
        </w:rPr>
        <w:t>3、估价权属依据：</w:t>
      </w:r>
    </w:p>
    <w:p>
      <w:pPr>
        <w:pageBreakBefore w:val="0"/>
        <w:widowControl w:val="0"/>
        <w:kinsoku/>
        <w:wordWrap/>
        <w:overflowPunct/>
        <w:topLinePunct w:val="0"/>
        <w:autoSpaceDE/>
        <w:autoSpaceDN/>
        <w:bidi w:val="0"/>
        <w:adjustRightInd/>
        <w:snapToGrid/>
        <w:spacing w:line="500" w:lineRule="exact"/>
        <w:ind w:firstLine="560" w:firstLineChars="200"/>
        <w:textAlignment w:val="auto"/>
        <w:rPr>
          <w:rFonts w:ascii="宋体" w:hAnsi="宋体"/>
          <w:sz w:val="28"/>
          <w:szCs w:val="28"/>
        </w:rPr>
      </w:pPr>
      <w:r>
        <w:rPr>
          <w:rFonts w:ascii="宋体" w:hAnsi="宋体"/>
          <w:sz w:val="28"/>
          <w:szCs w:val="28"/>
        </w:rPr>
        <w:fldChar w:fldCharType="begin"/>
      </w:r>
      <w:r>
        <w:rPr>
          <w:rFonts w:ascii="宋体" w:hAnsi="宋体"/>
          <w:sz w:val="28"/>
          <w:szCs w:val="28"/>
        </w:rPr>
        <w:instrText xml:space="preserve"> </w:instrText>
      </w:r>
      <w:r>
        <w:rPr>
          <w:rFonts w:hint="eastAsia" w:ascii="宋体" w:hAnsi="宋体"/>
          <w:sz w:val="28"/>
          <w:szCs w:val="28"/>
        </w:rPr>
        <w:instrText xml:space="preserve">= 1 \* GB2</w:instrText>
      </w:r>
      <w:r>
        <w:rPr>
          <w:rFonts w:ascii="宋体" w:hAnsi="宋体"/>
          <w:sz w:val="28"/>
          <w:szCs w:val="28"/>
        </w:rPr>
        <w:instrText xml:space="preserve"> </w:instrText>
      </w:r>
      <w:r>
        <w:rPr>
          <w:rFonts w:ascii="宋体" w:hAnsi="宋体"/>
          <w:sz w:val="28"/>
          <w:szCs w:val="28"/>
        </w:rPr>
        <w:fldChar w:fldCharType="separate"/>
      </w:r>
      <w:r>
        <w:rPr>
          <w:rFonts w:hint="eastAsia" w:ascii="宋体" w:hAnsi="宋体"/>
          <w:sz w:val="28"/>
          <w:szCs w:val="28"/>
        </w:rPr>
        <w:t>⑴</w:t>
      </w:r>
      <w:r>
        <w:rPr>
          <w:rFonts w:ascii="宋体" w:hAnsi="宋体"/>
          <w:sz w:val="28"/>
          <w:szCs w:val="28"/>
        </w:rPr>
        <w:fldChar w:fldCharType="end"/>
      </w:r>
      <w:r>
        <w:rPr>
          <w:rFonts w:hint="eastAsia" w:ascii="宋体" w:hAnsi="宋体"/>
          <w:sz w:val="28"/>
          <w:szCs w:val="28"/>
        </w:rPr>
        <w:t>《</w:t>
      </w:r>
      <w:r>
        <w:rPr>
          <w:rFonts w:hint="eastAsia" w:ascii="宋体" w:hAnsi="宋体"/>
          <w:sz w:val="28"/>
          <w:szCs w:val="28"/>
          <w:lang w:eastAsia="zh-CN"/>
        </w:rPr>
        <w:t>房屋所有权证</w:t>
      </w:r>
      <w:r>
        <w:rPr>
          <w:rFonts w:hint="eastAsia" w:ascii="宋体" w:hAnsi="宋体"/>
          <w:sz w:val="28"/>
          <w:szCs w:val="28"/>
        </w:rPr>
        <w:t>》（复印件）</w:t>
      </w:r>
    </w:p>
    <w:p>
      <w:pPr>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sz w:val="28"/>
          <w:szCs w:val="28"/>
        </w:rPr>
      </w:pPr>
      <w:r>
        <w:rPr>
          <w:rFonts w:ascii="宋体" w:hAnsi="宋体"/>
          <w:sz w:val="28"/>
          <w:szCs w:val="28"/>
        </w:rPr>
        <w:fldChar w:fldCharType="begin"/>
      </w:r>
      <w:r>
        <w:rPr>
          <w:rFonts w:ascii="宋体" w:hAnsi="宋体"/>
          <w:sz w:val="28"/>
          <w:szCs w:val="28"/>
        </w:rPr>
        <w:instrText xml:space="preserve"> =2 \* GB2 </w:instrText>
      </w:r>
      <w:r>
        <w:rPr>
          <w:rFonts w:ascii="宋体" w:hAnsi="宋体"/>
          <w:sz w:val="28"/>
          <w:szCs w:val="28"/>
        </w:rPr>
        <w:fldChar w:fldCharType="separate"/>
      </w:r>
      <w:r>
        <w:rPr>
          <w:rFonts w:ascii="宋体" w:hAnsi="宋体"/>
          <w:sz w:val="28"/>
          <w:szCs w:val="28"/>
        </w:rPr>
        <w:t>⑵</w:t>
      </w:r>
      <w:r>
        <w:rPr>
          <w:rFonts w:ascii="宋体" w:hAnsi="宋体"/>
          <w:sz w:val="28"/>
          <w:szCs w:val="28"/>
        </w:rPr>
        <w:fldChar w:fldCharType="end"/>
      </w:r>
      <w:r>
        <w:rPr>
          <w:rFonts w:hint="eastAsia" w:ascii="宋体" w:hAnsi="宋体"/>
          <w:sz w:val="28"/>
          <w:szCs w:val="28"/>
        </w:rPr>
        <w:t>《</w:t>
      </w:r>
      <w:r>
        <w:rPr>
          <w:rFonts w:hint="eastAsia" w:ascii="宋体" w:hAnsi="宋体"/>
          <w:sz w:val="28"/>
          <w:szCs w:val="28"/>
          <w:lang w:eastAsia="zh-CN"/>
        </w:rPr>
        <w:t>平罗县</w:t>
      </w:r>
      <w:r>
        <w:rPr>
          <w:rFonts w:hint="eastAsia" w:ascii="宋体" w:hAnsi="宋体"/>
          <w:sz w:val="28"/>
          <w:szCs w:val="28"/>
        </w:rPr>
        <w:t>不动产登记信息查询单》（复印件）</w:t>
      </w:r>
    </w:p>
    <w:p>
      <w:pPr>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sz w:val="28"/>
          <w:szCs w:val="28"/>
        </w:rPr>
      </w:pPr>
      <w:r>
        <w:rPr>
          <w:rFonts w:hint="eastAsia" w:ascii="宋体" w:hAnsi="宋体"/>
          <w:sz w:val="28"/>
          <w:szCs w:val="28"/>
        </w:rPr>
        <w:t>⑶《</w:t>
      </w:r>
      <w:r>
        <w:rPr>
          <w:rFonts w:hint="eastAsia" w:ascii="宋体" w:hAnsi="宋体"/>
          <w:sz w:val="28"/>
          <w:szCs w:val="28"/>
          <w:lang w:eastAsia="zh-CN"/>
        </w:rPr>
        <w:t>不动产登记证明</w:t>
      </w:r>
      <w:r>
        <w:rPr>
          <w:rFonts w:hint="eastAsia" w:ascii="宋体" w:hAnsi="宋体"/>
          <w:sz w:val="28"/>
          <w:szCs w:val="28"/>
        </w:rPr>
        <w:t>》（复印件）</w:t>
      </w:r>
    </w:p>
    <w:p>
      <w:pPr>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sz w:val="28"/>
          <w:szCs w:val="28"/>
        </w:rPr>
      </w:pPr>
      <w:r>
        <w:rPr>
          <w:rFonts w:hint="eastAsia" w:ascii="宋体" w:hAnsi="宋体"/>
          <w:sz w:val="28"/>
          <w:szCs w:val="28"/>
        </w:rPr>
        <w:t>4、</w:t>
      </w:r>
      <w:r>
        <w:rPr>
          <w:rFonts w:hint="eastAsia" w:ascii="宋体" w:hAnsi="宋体"/>
          <w:sz w:val="28"/>
          <w:szCs w:val="28"/>
          <w:lang w:eastAsia="zh-CN"/>
        </w:rPr>
        <w:t>其他</w:t>
      </w:r>
      <w:r>
        <w:rPr>
          <w:rFonts w:hint="eastAsia" w:ascii="宋体" w:hAnsi="宋体"/>
          <w:sz w:val="28"/>
          <w:szCs w:val="28"/>
        </w:rPr>
        <w:t>估价依据：</w:t>
      </w:r>
    </w:p>
    <w:p>
      <w:pPr>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sz w:val="28"/>
          <w:szCs w:val="28"/>
        </w:rPr>
      </w:pPr>
      <w:r>
        <w:rPr>
          <w:rFonts w:hint="eastAsia" w:ascii="宋体" w:hAnsi="宋体"/>
          <w:sz w:val="28"/>
          <w:szCs w:val="28"/>
        </w:rPr>
        <w:t>⑴估价委托人提供与本次估价相关的其他资料；</w:t>
      </w:r>
    </w:p>
    <w:p>
      <w:pPr>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sz w:val="28"/>
          <w:szCs w:val="28"/>
        </w:rPr>
      </w:pPr>
      <w:r>
        <w:rPr>
          <w:rFonts w:hint="eastAsia" w:ascii="宋体" w:hAnsi="宋体"/>
          <w:sz w:val="28"/>
          <w:szCs w:val="28"/>
        </w:rPr>
        <w:t>⑵估价人员现场查看记录；</w:t>
      </w:r>
    </w:p>
    <w:p>
      <w:pPr>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b/>
          <w:bCs/>
          <w:sz w:val="28"/>
          <w:szCs w:val="28"/>
        </w:rPr>
      </w:pPr>
      <w:r>
        <w:rPr>
          <w:rFonts w:hint="eastAsia" w:ascii="宋体" w:hAnsi="宋体"/>
          <w:sz w:val="28"/>
          <w:szCs w:val="28"/>
        </w:rPr>
        <w:t>⑶本估价机构掌握的房地产市场相关资料。</w:t>
      </w:r>
    </w:p>
    <w:p>
      <w:pPr>
        <w:pStyle w:val="2"/>
        <w:pageBreakBefore w:val="0"/>
        <w:widowControl w:val="0"/>
        <w:kinsoku/>
        <w:wordWrap/>
        <w:overflowPunct/>
        <w:topLinePunct w:val="0"/>
        <w:autoSpaceDE/>
        <w:autoSpaceDN/>
        <w:bidi w:val="0"/>
        <w:adjustRightInd/>
        <w:snapToGrid/>
        <w:spacing w:before="0" w:after="0" w:line="500" w:lineRule="exact"/>
        <w:ind w:firstLine="562" w:firstLineChars="200"/>
        <w:textAlignment w:val="auto"/>
        <w:rPr>
          <w:rFonts w:hint="eastAsia"/>
          <w:sz w:val="28"/>
          <w:szCs w:val="28"/>
        </w:rPr>
      </w:pPr>
      <w:bookmarkStart w:id="22" w:name="_Toc27823896"/>
      <w:bookmarkStart w:id="23" w:name="_Toc61938701"/>
      <w:r>
        <w:rPr>
          <w:rFonts w:hint="eastAsia"/>
          <w:sz w:val="28"/>
          <w:szCs w:val="28"/>
        </w:rPr>
        <w:t>八、估价原则：</w:t>
      </w:r>
      <w:bookmarkEnd w:id="22"/>
      <w:bookmarkEnd w:id="23"/>
    </w:p>
    <w:p>
      <w:pPr>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sz w:val="28"/>
          <w:szCs w:val="28"/>
        </w:rPr>
      </w:pPr>
      <w:r>
        <w:rPr>
          <w:rFonts w:hint="eastAsia" w:ascii="宋体" w:hAnsi="宋体"/>
          <w:sz w:val="28"/>
          <w:szCs w:val="28"/>
        </w:rPr>
        <w:t>1、独立、客观、公正原则</w:t>
      </w:r>
    </w:p>
    <w:p>
      <w:pPr>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sz w:val="28"/>
        </w:rPr>
      </w:pPr>
      <w:r>
        <w:rPr>
          <w:rFonts w:hint="eastAsia" w:ascii="宋体" w:hAnsi="宋体"/>
          <w:sz w:val="28"/>
          <w:szCs w:val="28"/>
        </w:rPr>
        <w:t>要求站在中立的立场上，实事求是、公平正直地评估</w:t>
      </w:r>
      <w:r>
        <w:rPr>
          <w:rFonts w:hint="eastAsia" w:ascii="宋体" w:hAnsi="宋体"/>
          <w:sz w:val="28"/>
        </w:rPr>
        <w:t>出对各方估价利害关系人均是公平合理的价值或价格的原则。</w:t>
      </w:r>
    </w:p>
    <w:p>
      <w:pPr>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sz w:val="28"/>
        </w:rPr>
      </w:pPr>
      <w:r>
        <w:rPr>
          <w:rFonts w:hint="eastAsia" w:ascii="宋体" w:hAnsi="宋体"/>
          <w:sz w:val="28"/>
        </w:rPr>
        <w:t>所谓“独立”，就是要求注册房地产估价师和房地产估价机构与估价委托人及估价利害关系人没有利害关系，在估价中不受包括估价委托人在内的任何单位和个人的影响，应凭自己的专业知识、经验和职业道德进行估价。所谓“客观”，就是要求注册房地产估价师和房地产估价机构在估价中不带着自己的情感、好恶和偏见，应按照事物的本来面目实事求是地进行估价。所谓“公正”，就是要求注册房地产估价师和房地产估价机构在估价中不偏袒估价利害关系人中的任何一方，应坚持原则，公平正直地进行估价。</w:t>
      </w:r>
    </w:p>
    <w:p>
      <w:pPr>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sz w:val="28"/>
        </w:rPr>
      </w:pPr>
      <w:r>
        <w:rPr>
          <w:rFonts w:hint="eastAsia" w:ascii="宋体" w:hAnsi="宋体"/>
          <w:sz w:val="28"/>
        </w:rPr>
        <w:t>2、合法原则：</w:t>
      </w:r>
    </w:p>
    <w:p>
      <w:pPr>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sz w:val="28"/>
        </w:rPr>
      </w:pPr>
      <w:r>
        <w:rPr>
          <w:rFonts w:hint="eastAsia" w:ascii="宋体" w:hAnsi="宋体"/>
          <w:sz w:val="28"/>
        </w:rPr>
        <w:t>要求估价结果是在依法判定的估价对象状况下的价值或价格的原则。本条所称依法，是指不仅要依据有关法律、行政法规、最高人民法院和最高人民检察院发布的有关司法解释，还要依据估价对象所在地的有关地方性法规（民族自治地方应同时依据有关自治条例和单行条例），国务院所属部门颁发的有关部门规章和政策，</w:t>
      </w:r>
      <w:r>
        <w:rPr>
          <w:rFonts w:hint="eastAsia" w:ascii="宋体" w:hAnsi="宋体"/>
          <w:sz w:val="28"/>
          <w:u w:val="single"/>
        </w:rPr>
        <w:t>估</w:t>
      </w:r>
      <w:r>
        <w:rPr>
          <w:rFonts w:hint="eastAsia" w:ascii="宋体" w:hAnsi="宋体"/>
          <w:sz w:val="28"/>
        </w:rPr>
        <w:t>价对象所在地人民政府颁发的有关部门规章和政策，估价对象所在地人民政府颁发的在关地方政府规章和政策，以及估价对象的不动产登记簿（房屋登记簿、土地登记簿）、权属证书、有关批文和合同等（如规划意见书、国有建设用地使用权出让招标文件</w:t>
      </w:r>
      <w:r>
        <w:rPr>
          <w:rFonts w:ascii="宋体" w:hAnsi="宋体"/>
          <w:sz w:val="28"/>
        </w:rPr>
        <w:t>）</w:t>
      </w:r>
      <w:r>
        <w:rPr>
          <w:rFonts w:hint="eastAsia" w:ascii="宋体" w:hAnsi="宋体"/>
          <w:sz w:val="28"/>
        </w:rPr>
        <w:t>、国有建设用地使用权出让合同、房地产转让合同、房屋租赁合同等）。</w:t>
      </w:r>
    </w:p>
    <w:p>
      <w:pPr>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sz w:val="28"/>
        </w:rPr>
      </w:pPr>
      <w:r>
        <w:rPr>
          <w:rFonts w:hint="eastAsia" w:ascii="宋体" w:hAnsi="宋体"/>
          <w:sz w:val="28"/>
        </w:rPr>
        <w:t>3、价值时点原则：</w:t>
      </w:r>
    </w:p>
    <w:p>
      <w:pPr>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sz w:val="28"/>
        </w:rPr>
      </w:pPr>
      <w:r>
        <w:rPr>
          <w:rFonts w:hint="eastAsia" w:ascii="宋体" w:hAnsi="宋体"/>
          <w:sz w:val="28"/>
        </w:rPr>
        <w:t>要求估价结果是在根据估价目的确定的某一特定时间的价值或价格的原则。价值时点原则强调的是估价结论具有很强的时间相关性和时效性，估价结论首先具有很强的时间相关性，这主要是考虑到资金的时间价值，在不同的时间点上发生的现金流量对其价值影响是不同的。所以，在房地产估价时统一规定：如果一些款项的发生时点与价值时点不一致，应当折算为价值时点的现值。估价结论同时具有很强的时效性，这主要是考虑到房地产市场价格的波动性，同一估价对象在不同时点会具有不同的市场价格。所以强调：估价结果是估价对象在价值时点的价格，不能将该估价结果作为估价对象在其他时点的价格。</w:t>
      </w:r>
    </w:p>
    <w:p>
      <w:pPr>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sz w:val="28"/>
        </w:rPr>
      </w:pPr>
      <w:r>
        <w:rPr>
          <w:rFonts w:hint="eastAsia" w:ascii="宋体" w:hAnsi="宋体"/>
          <w:sz w:val="28"/>
        </w:rPr>
        <w:t>4、替代原则</w:t>
      </w:r>
    </w:p>
    <w:p>
      <w:pPr>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sz w:val="28"/>
        </w:rPr>
      </w:pPr>
      <w:r>
        <w:rPr>
          <w:rFonts w:hint="eastAsia" w:ascii="宋体" w:hAnsi="宋体"/>
          <w:sz w:val="28"/>
        </w:rPr>
        <w:t>要求估价结果与估价对象的类似房地产在同等条件下的价值或价格偏差在合理范围内的原则。</w:t>
      </w:r>
    </w:p>
    <w:p>
      <w:pPr>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sz w:val="28"/>
        </w:rPr>
      </w:pPr>
      <w:r>
        <w:rPr>
          <w:rFonts w:hint="eastAsia" w:ascii="宋体" w:hAnsi="宋体"/>
          <w:sz w:val="28"/>
        </w:rPr>
        <w:t>根据经济学原理，在同一个市场上相同的商品有相同的价格。因为任何理性的买者在购买商品之前都会在市场上搜寻并“货比三家”，然后购买其中效用最大（或质量、性能最好）而价格最低的，即购买“性价比”高或“物美价廉”的。卖者为了使其产品能够卖出，相互之间也会进行价格竞争。市场上买者、卖者的这些行为导致的结果，是在相同的商品之间形成相同的价格。</w:t>
      </w:r>
    </w:p>
    <w:p>
      <w:pPr>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sz w:val="28"/>
        </w:rPr>
      </w:pPr>
      <w:r>
        <w:rPr>
          <w:rFonts w:hint="eastAsia" w:ascii="宋体" w:hAnsi="宋体"/>
          <w:sz w:val="28"/>
        </w:rPr>
        <w:t>房地产价格的形成一般也如此，只是由于房地产的独一无二特性，使得完全相同的房地产几乎没有，但在同一个房地产市场上，相似的房地产会有相近的价格。因为在现实房地产交易中，任何理性的买者和卖者，都会将其拟买或拟卖的房地产与市场上相似的房地产进行比较，从而任何理性的买者不会接受比市场上相似的房地产的正常价格过高的价格，任何理性的卖者不会接受比市场上相似的房地产的正常价格过低的价格。这种相似的房地产之间价格相互牵掣的结果，是它们的价格相互接近。</w:t>
      </w:r>
    </w:p>
    <w:p>
      <w:pPr>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sz w:val="28"/>
        </w:rPr>
      </w:pPr>
      <w:r>
        <w:rPr>
          <w:rFonts w:hint="eastAsia" w:ascii="宋体" w:hAnsi="宋体"/>
          <w:sz w:val="28"/>
        </w:rPr>
        <w:t>5、最高最佳利用原则：</w:t>
      </w:r>
    </w:p>
    <w:p>
      <w:pPr>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color w:val="000000"/>
          <w:sz w:val="28"/>
        </w:rPr>
      </w:pPr>
      <w:r>
        <w:rPr>
          <w:rFonts w:hint="eastAsia" w:ascii="宋体" w:hAnsi="宋体"/>
          <w:sz w:val="28"/>
        </w:rPr>
        <w:t>要求估价结果是在估价对象最高最佳利用状况下的价值或价格的原则。</w:t>
      </w:r>
    </w:p>
    <w:p>
      <w:pPr>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color w:val="000000"/>
          <w:sz w:val="28"/>
          <w:szCs w:val="28"/>
        </w:rPr>
      </w:pPr>
      <w:r>
        <w:rPr>
          <w:rFonts w:hint="eastAsia" w:ascii="宋体" w:hAnsi="宋体"/>
          <w:color w:val="000000"/>
          <w:sz w:val="28"/>
          <w:szCs w:val="28"/>
        </w:rPr>
        <w:t>最高最佳利用必须同时满足四个条件：一是法律上允许；二是技术上可能；三是财务上可行；四是价值最大化。最高最佳利用不是无条件的最高最佳利用，而是在法律、法规、政策以及建设用地使用权出让合同等允许范围内的最高最佳利用。</w:t>
      </w:r>
    </w:p>
    <w:p>
      <w:pPr>
        <w:pStyle w:val="2"/>
        <w:pageBreakBefore w:val="0"/>
        <w:widowControl w:val="0"/>
        <w:kinsoku/>
        <w:wordWrap/>
        <w:overflowPunct/>
        <w:topLinePunct w:val="0"/>
        <w:autoSpaceDE/>
        <w:autoSpaceDN/>
        <w:bidi w:val="0"/>
        <w:adjustRightInd/>
        <w:snapToGrid/>
        <w:spacing w:before="0" w:after="0" w:line="500" w:lineRule="exact"/>
        <w:ind w:firstLine="562" w:firstLineChars="200"/>
        <w:textAlignment w:val="auto"/>
        <w:rPr>
          <w:rFonts w:hint="eastAsia"/>
          <w:sz w:val="28"/>
          <w:szCs w:val="28"/>
        </w:rPr>
      </w:pPr>
      <w:bookmarkStart w:id="24" w:name="_Toc61938702"/>
      <w:bookmarkStart w:id="25" w:name="_Toc27823897"/>
      <w:r>
        <w:rPr>
          <w:rFonts w:hint="eastAsia"/>
          <w:sz w:val="28"/>
          <w:szCs w:val="28"/>
        </w:rPr>
        <w:t>九、估价方法</w:t>
      </w:r>
      <w:bookmarkEnd w:id="24"/>
      <w:bookmarkEnd w:id="25"/>
    </w:p>
    <w:p>
      <w:pPr>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sz w:val="28"/>
          <w:szCs w:val="28"/>
        </w:rPr>
      </w:pPr>
      <w:r>
        <w:rPr>
          <w:rFonts w:hint="eastAsia" w:ascii="宋体" w:hAnsi="宋体"/>
          <w:sz w:val="28"/>
          <w:szCs w:val="28"/>
        </w:rPr>
        <w:t>1、估价方法适用条件：</w:t>
      </w:r>
    </w:p>
    <w:p>
      <w:pPr>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sz w:val="28"/>
          <w:szCs w:val="28"/>
        </w:rPr>
      </w:pPr>
      <w:r>
        <w:rPr>
          <w:rFonts w:hint="eastAsia" w:ascii="宋体" w:hAnsi="宋体"/>
          <w:sz w:val="28"/>
          <w:szCs w:val="28"/>
        </w:rPr>
        <w:t>根据《房地产估价规范》，通行的估价方法有市场法、收益法、假设开发法、成本法等。有条件选用比较法进行估价的，应以市场法为主要方法；收益性房地产的估价，应选用收益法作为其中的一种估价方法。在无市场根据或市场依据不充分而不适宜用比较法、收益法、假设开发法进行估价的情况下，可采用成本法为主要估价方法。</w:t>
      </w:r>
    </w:p>
    <w:p>
      <w:pPr>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sz w:val="28"/>
          <w:szCs w:val="28"/>
        </w:rPr>
      </w:pPr>
      <w:r>
        <w:rPr>
          <w:rFonts w:hint="eastAsia" w:ascii="宋体" w:hAnsi="宋体"/>
          <w:sz w:val="28"/>
          <w:szCs w:val="28"/>
        </w:rPr>
        <w:t>2、估价方法选用：</w:t>
      </w:r>
    </w:p>
    <w:p>
      <w:pPr>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sz w:val="28"/>
          <w:szCs w:val="28"/>
        </w:rPr>
      </w:pPr>
      <w:r>
        <w:rPr>
          <w:rFonts w:hint="eastAsia" w:ascii="宋体" w:hAnsi="宋体"/>
          <w:sz w:val="28"/>
          <w:szCs w:val="28"/>
        </w:rPr>
        <w:t>估价对象位于</w:t>
      </w:r>
      <w:r>
        <w:rPr>
          <w:rFonts w:hint="eastAsia" w:ascii="宋体" w:hAnsi="宋体"/>
          <w:sz w:val="28"/>
          <w:szCs w:val="28"/>
          <w:lang w:eastAsia="zh-CN"/>
        </w:rPr>
        <w:t>平罗县建设路北侧银北丽景13幢1单元401号(住宅）</w:t>
      </w:r>
      <w:r>
        <w:rPr>
          <w:rFonts w:hint="eastAsia" w:ascii="宋体" w:hAnsi="宋体"/>
          <w:sz w:val="28"/>
          <w:szCs w:val="28"/>
        </w:rPr>
        <w:t>，本次估价根据估价对象的特点和利用现状，采用市场法和收益法对其价值进行评估，具体分析如下：</w:t>
      </w:r>
    </w:p>
    <w:p>
      <w:pPr>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sz w:val="28"/>
          <w:szCs w:val="28"/>
        </w:rPr>
      </w:pPr>
      <w:r>
        <w:rPr>
          <w:rFonts w:hint="eastAsia" w:ascii="宋体" w:hAnsi="宋体"/>
          <w:sz w:val="28"/>
          <w:szCs w:val="28"/>
        </w:rPr>
        <w:t>第一，近期内与估价对象处于同一供需圈，用途相同的类似房地产交易较为频繁，市场交易案例较多，采用比较法进行评估时所需的有效的可比实例较易取得，故适宜用比较法进行评估；</w:t>
      </w:r>
    </w:p>
    <w:p>
      <w:pPr>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sz w:val="28"/>
        </w:rPr>
      </w:pPr>
      <w:r>
        <w:rPr>
          <w:rFonts w:hint="eastAsia" w:ascii="宋体" w:hAnsi="宋体"/>
          <w:sz w:val="28"/>
        </w:rPr>
        <w:t>第二，与估价对象处于同一供求范围内的类似房地产出租情况较多，客观租金较易获取，故可采用收益法对估价对象价值进行评估；</w:t>
      </w:r>
    </w:p>
    <w:p>
      <w:pPr>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sz w:val="28"/>
        </w:rPr>
      </w:pPr>
      <w:r>
        <w:rPr>
          <w:rFonts w:hint="eastAsia" w:ascii="宋体" w:hAnsi="宋体"/>
          <w:sz w:val="28"/>
        </w:rPr>
        <w:t>第三，估价对象现状用途为</w:t>
      </w:r>
      <w:r>
        <w:rPr>
          <w:rFonts w:hint="eastAsia" w:ascii="宋体" w:hAnsi="宋体"/>
          <w:sz w:val="28"/>
          <w:lang w:eastAsia="zh-CN"/>
        </w:rPr>
        <w:t>住宅</w:t>
      </w:r>
      <w:r>
        <w:rPr>
          <w:rFonts w:hint="eastAsia" w:ascii="宋体" w:hAnsi="宋体"/>
          <w:sz w:val="28"/>
        </w:rPr>
        <w:t>，规划用途亦为</w:t>
      </w:r>
      <w:r>
        <w:rPr>
          <w:rFonts w:hint="eastAsia" w:ascii="宋体" w:hAnsi="宋体"/>
          <w:sz w:val="28"/>
          <w:lang w:eastAsia="zh-CN"/>
        </w:rPr>
        <w:t>住宅</w:t>
      </w:r>
      <w:r>
        <w:rPr>
          <w:rFonts w:hint="eastAsia" w:ascii="宋体" w:hAnsi="宋体"/>
          <w:sz w:val="28"/>
        </w:rPr>
        <w:t>，估价人员现场查看以及对周边环境和房地产市场的调查和预期分析，估价对象目前已为最高最佳使用，故不宜采用假设开发法进行评估；</w:t>
      </w:r>
    </w:p>
    <w:p>
      <w:pPr>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sz w:val="28"/>
        </w:rPr>
      </w:pPr>
      <w:r>
        <w:rPr>
          <w:rFonts w:hint="eastAsia" w:ascii="宋体" w:hAnsi="宋体"/>
          <w:sz w:val="28"/>
        </w:rPr>
        <w:t>第四，成本法以成本累加为途径，未充分考虑供求关系等市场因素对房地产价值的影响，采用成本法测算得出的估价结果远远低于其正常市场价值故不宜采用成本法进行评估。通过以上分析，在本次估价过程中，我们考虑采用比较法和收益法两种方法对估价对象价值进行测算，并通过对上述两种方法得出的估价结果进行分析比较，综合得出估价对象的市场价值。</w:t>
      </w:r>
    </w:p>
    <w:p>
      <w:pPr>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sz w:val="28"/>
          <w:szCs w:val="28"/>
        </w:rPr>
      </w:pPr>
      <w:r>
        <w:rPr>
          <w:rFonts w:hint="eastAsia" w:ascii="宋体" w:hAnsi="宋体"/>
          <w:sz w:val="28"/>
          <w:szCs w:val="28"/>
        </w:rPr>
        <w:t>3、估价方法定义及基本公式：</w:t>
      </w:r>
    </w:p>
    <w:p>
      <w:pPr>
        <w:pStyle w:val="7"/>
        <w:pageBreakBefore w:val="0"/>
        <w:widowControl w:val="0"/>
        <w:kinsoku/>
        <w:wordWrap/>
        <w:overflowPunct/>
        <w:topLinePunct w:val="0"/>
        <w:autoSpaceDE/>
        <w:autoSpaceDN/>
        <w:bidi w:val="0"/>
        <w:adjustRightInd/>
        <w:snapToGrid/>
        <w:spacing w:before="0" w:line="500" w:lineRule="exact"/>
        <w:ind w:firstLine="537" w:firstLineChars="192"/>
        <w:textAlignment w:val="auto"/>
        <w:rPr>
          <w:rFonts w:hint="eastAsia" w:ascii="宋体" w:hAnsi="宋体" w:eastAsia="宋体"/>
        </w:rPr>
      </w:pPr>
      <w:r>
        <w:rPr>
          <w:rFonts w:hint="eastAsia" w:ascii="宋体" w:hAnsi="宋体" w:eastAsia="宋体"/>
        </w:rPr>
        <w:t>⑴比较法：是将估价对象与在价值时点近期有过交易的类似房地产进行比较，对这些类似房地产的已知价格做适当的修正，以此估算估价对象的客观合理价格或价值的方法。</w:t>
      </w:r>
    </w:p>
    <w:p>
      <w:pPr>
        <w:pStyle w:val="7"/>
        <w:pageBreakBefore w:val="0"/>
        <w:widowControl w:val="0"/>
        <w:kinsoku/>
        <w:wordWrap/>
        <w:overflowPunct/>
        <w:topLinePunct w:val="0"/>
        <w:autoSpaceDE/>
        <w:autoSpaceDN/>
        <w:bidi w:val="0"/>
        <w:adjustRightInd/>
        <w:snapToGrid/>
        <w:spacing w:before="0" w:line="500" w:lineRule="exact"/>
        <w:ind w:firstLine="537" w:firstLineChars="192"/>
        <w:textAlignment w:val="auto"/>
        <w:rPr>
          <w:rFonts w:hint="eastAsia" w:ascii="宋体" w:hAnsi="宋体" w:eastAsia="宋体"/>
        </w:rPr>
      </w:pPr>
      <w:r>
        <w:rPr>
          <w:rFonts w:hint="eastAsia" w:ascii="宋体" w:hAnsi="宋体" w:eastAsia="宋体"/>
        </w:rPr>
        <w:t>案例修正后单价＝可比实例成交单价×交易情况修正×市场状况调整×区位状况调整×实物状况调整×权益状况调整</w:t>
      </w:r>
    </w:p>
    <w:p>
      <w:pPr>
        <w:pStyle w:val="7"/>
        <w:pageBreakBefore w:val="0"/>
        <w:widowControl w:val="0"/>
        <w:kinsoku/>
        <w:wordWrap/>
        <w:overflowPunct/>
        <w:topLinePunct w:val="0"/>
        <w:autoSpaceDE/>
        <w:autoSpaceDN/>
        <w:bidi w:val="0"/>
        <w:adjustRightInd/>
        <w:snapToGrid/>
        <w:spacing w:before="0" w:line="500" w:lineRule="exact"/>
        <w:textAlignment w:val="auto"/>
        <w:rPr>
          <w:rFonts w:hint="eastAsia" w:ascii="宋体" w:hAnsi="宋体" w:eastAsia="宋体"/>
        </w:rPr>
      </w:pPr>
      <w:r>
        <w:rPr>
          <w:rFonts w:hint="eastAsia" w:ascii="宋体" w:hAnsi="宋体" w:eastAsia="宋体"/>
        </w:rPr>
        <w:t>⑵收益法：是预计估价对象未来的正常净收益，选用适当的报酬率将其折算到价值时点后累加，以此估算估价对象的客观合理价格或价值。</w:t>
      </w:r>
    </w:p>
    <w:p>
      <w:pPr>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sz w:val="28"/>
          <w:szCs w:val="28"/>
        </w:rPr>
      </w:pPr>
      <w:r>
        <w:rPr>
          <w:rFonts w:hint="eastAsia" w:ascii="宋体" w:hAnsi="宋体"/>
          <w:sz w:val="28"/>
          <w:szCs w:val="28"/>
        </w:rPr>
        <w:t>收益价格＝P= A÷r×[1－1÷（1＋r）^</w:t>
      </w:r>
      <w:r>
        <w:rPr>
          <w:rFonts w:hint="eastAsia" w:ascii="宋体" w:hAnsi="宋体"/>
          <w:w w:val="90"/>
          <w:sz w:val="28"/>
          <w:szCs w:val="28"/>
          <w:vertAlign w:val="superscript"/>
        </w:rPr>
        <w:t>n</w:t>
      </w:r>
      <w:r>
        <w:rPr>
          <w:rFonts w:hint="eastAsia" w:ascii="宋体" w:hAnsi="宋体"/>
          <w:sz w:val="28"/>
          <w:szCs w:val="28"/>
        </w:rPr>
        <w:t>]</w:t>
      </w:r>
    </w:p>
    <w:p>
      <w:pPr>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sz w:val="28"/>
          <w:szCs w:val="28"/>
        </w:rPr>
      </w:pPr>
      <w:r>
        <w:rPr>
          <w:rFonts w:hint="eastAsia" w:ascii="宋体" w:hAnsi="宋体"/>
          <w:sz w:val="28"/>
          <w:szCs w:val="28"/>
        </w:rPr>
        <w:t>式中：P —市场价值</w:t>
      </w:r>
    </w:p>
    <w:p>
      <w:pPr>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sz w:val="28"/>
          <w:szCs w:val="28"/>
        </w:rPr>
      </w:pPr>
      <w:r>
        <w:rPr>
          <w:rFonts w:ascii="宋体" w:hAnsi="宋体"/>
          <w:sz w:val="28"/>
          <w:szCs w:val="28"/>
        </w:rPr>
        <w:t>A</w:t>
      </w:r>
      <w:r>
        <w:rPr>
          <w:rFonts w:hint="eastAsia" w:ascii="宋体" w:hAnsi="宋体"/>
          <w:sz w:val="28"/>
          <w:szCs w:val="28"/>
        </w:rPr>
        <w:t>——年纯收益             r——报酬率</w:t>
      </w:r>
    </w:p>
    <w:p>
      <w:pPr>
        <w:pageBreakBefore w:val="0"/>
        <w:widowControl w:val="0"/>
        <w:kinsoku/>
        <w:wordWrap/>
        <w:overflowPunct/>
        <w:topLinePunct w:val="0"/>
        <w:autoSpaceDE/>
        <w:autoSpaceDN/>
        <w:bidi w:val="0"/>
        <w:adjustRightInd/>
        <w:snapToGrid/>
        <w:spacing w:line="500" w:lineRule="exact"/>
        <w:textAlignment w:val="auto"/>
        <w:rPr>
          <w:rFonts w:hint="eastAsia" w:ascii="宋体" w:hAnsi="宋体"/>
          <w:sz w:val="28"/>
          <w:szCs w:val="28"/>
        </w:rPr>
      </w:pPr>
      <w:r>
        <w:rPr>
          <w:rFonts w:hint="eastAsia" w:ascii="宋体" w:hAnsi="宋体"/>
          <w:sz w:val="28"/>
          <w:szCs w:val="28"/>
        </w:rPr>
        <w:t xml:space="preserve">    n——获取纯收益的持续年限</w:t>
      </w:r>
    </w:p>
    <w:p>
      <w:pPr>
        <w:pStyle w:val="2"/>
        <w:pageBreakBefore w:val="0"/>
        <w:widowControl w:val="0"/>
        <w:kinsoku/>
        <w:wordWrap/>
        <w:overflowPunct/>
        <w:topLinePunct w:val="0"/>
        <w:autoSpaceDE/>
        <w:autoSpaceDN/>
        <w:bidi w:val="0"/>
        <w:adjustRightInd/>
        <w:snapToGrid/>
        <w:spacing w:before="0" w:after="0" w:line="500" w:lineRule="exact"/>
        <w:ind w:firstLine="562" w:firstLineChars="200"/>
        <w:textAlignment w:val="auto"/>
        <w:rPr>
          <w:rFonts w:hint="eastAsia" w:ascii="宋体" w:hAnsi="宋体"/>
          <w:sz w:val="28"/>
          <w:szCs w:val="28"/>
        </w:rPr>
      </w:pPr>
      <w:bookmarkStart w:id="26" w:name="_Toc61938703"/>
      <w:bookmarkStart w:id="27" w:name="_Toc27823898"/>
      <w:r>
        <w:rPr>
          <w:rFonts w:hint="eastAsia" w:ascii="宋体" w:hAnsi="宋体"/>
          <w:sz w:val="28"/>
          <w:szCs w:val="28"/>
        </w:rPr>
        <w:t>十、估价结果：</w:t>
      </w:r>
      <w:bookmarkEnd w:id="26"/>
      <w:bookmarkEnd w:id="27"/>
    </w:p>
    <w:p>
      <w:pPr>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b/>
          <w:bCs/>
          <w:sz w:val="28"/>
          <w:szCs w:val="28"/>
        </w:rPr>
      </w:pPr>
      <w:r>
        <w:rPr>
          <w:rFonts w:hint="eastAsia" w:ascii="宋体" w:hAnsi="宋体"/>
          <w:sz w:val="28"/>
          <w:szCs w:val="28"/>
        </w:rPr>
        <w:t>估价人员根据估价目的，遵循估价原则，按照估价工作程序，运用科学的估价方法，仔细考察估价对象的特征及使用和维护情况，经过全面细致的测算，并结合估价经验和对影响项目价值因素的分析，确定估价对象在</w:t>
      </w:r>
      <w:r>
        <w:rPr>
          <w:rFonts w:hint="eastAsia" w:ascii="宋体" w:hAnsi="宋体"/>
          <w:sz w:val="28"/>
          <w:szCs w:val="28"/>
          <w:lang w:eastAsia="zh-CN"/>
        </w:rPr>
        <w:t>2021年7月16日</w:t>
      </w:r>
      <w:r>
        <w:rPr>
          <w:rFonts w:hint="eastAsia" w:ascii="宋体" w:hAnsi="宋体"/>
          <w:sz w:val="28"/>
          <w:szCs w:val="28"/>
        </w:rPr>
        <w:t>的</w:t>
      </w:r>
      <w:r>
        <w:rPr>
          <w:rFonts w:hint="eastAsia" w:ascii="宋体" w:hAnsi="宋体"/>
          <w:b/>
          <w:sz w:val="28"/>
          <w:szCs w:val="28"/>
        </w:rPr>
        <w:t>市场价值为人民币</w:t>
      </w:r>
      <w:r>
        <w:rPr>
          <w:rFonts w:hint="eastAsia" w:ascii="宋体" w:hAnsi="宋体"/>
          <w:b/>
          <w:snapToGrid w:val="0"/>
          <w:kern w:val="0"/>
          <w:sz w:val="28"/>
          <w:szCs w:val="28"/>
          <w:lang w:eastAsia="zh-CN"/>
        </w:rPr>
        <w:t>364450</w:t>
      </w:r>
      <w:r>
        <w:rPr>
          <w:rFonts w:hint="eastAsia" w:ascii="宋体" w:hAnsi="宋体"/>
          <w:b/>
          <w:sz w:val="28"/>
          <w:szCs w:val="28"/>
        </w:rPr>
        <w:t>元，大写金额（人民币）：</w:t>
      </w:r>
      <w:r>
        <w:rPr>
          <w:rFonts w:ascii="宋体" w:hAnsi="宋体"/>
          <w:b/>
          <w:bCs/>
          <w:sz w:val="28"/>
          <w:szCs w:val="28"/>
        </w:rPr>
        <w:fldChar w:fldCharType="begin"/>
      </w:r>
      <w:r>
        <w:rPr>
          <w:rFonts w:ascii="宋体" w:hAnsi="宋体"/>
          <w:b/>
          <w:bCs/>
          <w:sz w:val="28"/>
          <w:szCs w:val="28"/>
        </w:rPr>
        <w:instrText xml:space="preserve"> </w:instrText>
      </w:r>
      <w:r>
        <w:rPr>
          <w:rFonts w:hint="eastAsia" w:ascii="宋体" w:hAnsi="宋体"/>
          <w:b/>
          <w:bCs/>
          <w:sz w:val="28"/>
          <w:szCs w:val="28"/>
        </w:rPr>
        <w:instrText xml:space="preserve">= 430480 \* CHINESENUM2</w:instrText>
      </w:r>
      <w:r>
        <w:rPr>
          <w:rFonts w:ascii="宋体" w:hAnsi="宋体"/>
          <w:b/>
          <w:bCs/>
          <w:sz w:val="28"/>
          <w:szCs w:val="28"/>
        </w:rPr>
        <w:instrText xml:space="preserve"> </w:instrText>
      </w:r>
      <w:r>
        <w:rPr>
          <w:rFonts w:ascii="宋体" w:hAnsi="宋体"/>
          <w:b/>
          <w:bCs/>
          <w:sz w:val="28"/>
          <w:szCs w:val="28"/>
        </w:rPr>
        <w:fldChar w:fldCharType="separate"/>
      </w:r>
      <w:r>
        <w:rPr>
          <w:rFonts w:hint="eastAsia" w:ascii="宋体" w:hAnsi="宋体"/>
          <w:b/>
          <w:bCs/>
          <w:sz w:val="28"/>
          <w:szCs w:val="28"/>
          <w:lang w:eastAsia="zh-CN"/>
        </w:rPr>
        <w:t>叁拾陆万肆仟肆佰伍拾</w:t>
      </w:r>
      <w:r>
        <w:rPr>
          <w:rFonts w:ascii="宋体" w:hAnsi="宋体"/>
          <w:b/>
          <w:bCs/>
          <w:sz w:val="28"/>
          <w:szCs w:val="28"/>
        </w:rPr>
        <w:fldChar w:fldCharType="end"/>
      </w:r>
      <w:r>
        <w:rPr>
          <w:rFonts w:hint="eastAsia" w:ascii="宋体" w:hAnsi="宋体"/>
          <w:b/>
          <w:bCs/>
          <w:sz w:val="28"/>
          <w:szCs w:val="28"/>
        </w:rPr>
        <w:t>元整，单价为</w:t>
      </w:r>
      <w:r>
        <w:rPr>
          <w:rFonts w:hint="eastAsia" w:ascii="宋体" w:hAnsi="宋体"/>
          <w:b/>
          <w:bCs/>
          <w:sz w:val="28"/>
          <w:szCs w:val="28"/>
          <w:lang w:eastAsia="zh-CN"/>
        </w:rPr>
        <w:t>3009</w:t>
      </w:r>
      <w:r>
        <w:rPr>
          <w:rFonts w:hint="eastAsia" w:ascii="宋体" w:hAnsi="宋体"/>
          <w:b/>
          <w:bCs/>
          <w:sz w:val="28"/>
          <w:szCs w:val="28"/>
        </w:rPr>
        <w:t>元/㎡</w:t>
      </w:r>
    </w:p>
    <w:p>
      <w:pPr>
        <w:spacing w:line="480" w:lineRule="exact"/>
        <w:ind w:firstLine="2670" w:firstLineChars="950"/>
        <w:rPr>
          <w:rFonts w:hint="eastAsia" w:ascii="宋体" w:hAnsi="宋体"/>
          <w:b/>
          <w:bCs/>
          <w:sz w:val="28"/>
          <w:szCs w:val="28"/>
        </w:rPr>
      </w:pPr>
      <w:r>
        <w:rPr>
          <w:rFonts w:hint="eastAsia" w:ascii="宋体" w:hAnsi="宋体"/>
          <w:b/>
          <w:bCs/>
          <w:sz w:val="28"/>
          <w:szCs w:val="28"/>
        </w:rPr>
        <w:t>《估价对象市场价值明细表》</w:t>
      </w:r>
    </w:p>
    <w:tbl>
      <w:tblPr>
        <w:tblStyle w:val="9"/>
        <w:tblW w:w="10187" w:type="dxa"/>
        <w:tblInd w:w="-9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9"/>
        <w:gridCol w:w="1531"/>
        <w:gridCol w:w="1729"/>
        <w:gridCol w:w="426"/>
        <w:gridCol w:w="736"/>
        <w:gridCol w:w="750"/>
        <w:gridCol w:w="737"/>
        <w:gridCol w:w="995"/>
        <w:gridCol w:w="996"/>
        <w:gridCol w:w="1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169" w:type="dxa"/>
            <w:noWrap w:val="0"/>
            <w:vAlign w:val="center"/>
          </w:tcPr>
          <w:p>
            <w:pPr>
              <w:spacing w:line="240" w:lineRule="exact"/>
              <w:jc w:val="center"/>
              <w:rPr>
                <w:rFonts w:hint="eastAsia" w:ascii="宋体" w:hAnsi="宋体"/>
                <w:b/>
                <w:sz w:val="21"/>
                <w:szCs w:val="21"/>
              </w:rPr>
            </w:pPr>
            <w:r>
              <w:rPr>
                <w:rFonts w:hint="eastAsia" w:ascii="宋体" w:hAnsi="宋体"/>
                <w:b/>
                <w:sz w:val="21"/>
                <w:szCs w:val="21"/>
              </w:rPr>
              <w:t>产权人、共有人</w:t>
            </w:r>
          </w:p>
        </w:tc>
        <w:tc>
          <w:tcPr>
            <w:tcW w:w="1531" w:type="dxa"/>
            <w:noWrap w:val="0"/>
            <w:vAlign w:val="center"/>
          </w:tcPr>
          <w:p>
            <w:pPr>
              <w:spacing w:line="240" w:lineRule="exact"/>
              <w:jc w:val="center"/>
              <w:rPr>
                <w:rFonts w:hint="eastAsia" w:ascii="宋体" w:hAnsi="宋体"/>
                <w:b/>
                <w:sz w:val="21"/>
                <w:szCs w:val="21"/>
              </w:rPr>
            </w:pPr>
            <w:r>
              <w:rPr>
                <w:rFonts w:hint="eastAsia" w:ascii="宋体" w:hAnsi="宋体"/>
                <w:b/>
                <w:sz w:val="21"/>
                <w:szCs w:val="21"/>
              </w:rPr>
              <w:t>产权证号</w:t>
            </w:r>
          </w:p>
        </w:tc>
        <w:tc>
          <w:tcPr>
            <w:tcW w:w="1729" w:type="dxa"/>
            <w:noWrap w:val="0"/>
            <w:vAlign w:val="center"/>
          </w:tcPr>
          <w:p>
            <w:pPr>
              <w:spacing w:line="240" w:lineRule="exact"/>
              <w:jc w:val="center"/>
              <w:rPr>
                <w:rFonts w:hint="eastAsia" w:ascii="宋体" w:hAnsi="宋体"/>
                <w:b/>
                <w:sz w:val="21"/>
                <w:szCs w:val="21"/>
              </w:rPr>
            </w:pPr>
            <w:r>
              <w:rPr>
                <w:rFonts w:hint="eastAsia" w:ascii="宋体" w:hAnsi="宋体"/>
                <w:b/>
                <w:sz w:val="21"/>
                <w:szCs w:val="21"/>
              </w:rPr>
              <w:t>房屋坐落</w:t>
            </w:r>
          </w:p>
        </w:tc>
        <w:tc>
          <w:tcPr>
            <w:tcW w:w="426" w:type="dxa"/>
            <w:noWrap w:val="0"/>
            <w:vAlign w:val="center"/>
          </w:tcPr>
          <w:p>
            <w:pPr>
              <w:spacing w:line="240" w:lineRule="exact"/>
              <w:jc w:val="center"/>
              <w:rPr>
                <w:rFonts w:hint="eastAsia" w:ascii="宋体" w:hAnsi="宋体"/>
                <w:b/>
                <w:sz w:val="21"/>
                <w:szCs w:val="21"/>
              </w:rPr>
            </w:pPr>
            <w:r>
              <w:rPr>
                <w:rFonts w:hint="eastAsia" w:ascii="宋体" w:hAnsi="宋体"/>
                <w:b/>
                <w:sz w:val="21"/>
                <w:szCs w:val="21"/>
              </w:rPr>
              <w:t>结构</w:t>
            </w:r>
          </w:p>
        </w:tc>
        <w:tc>
          <w:tcPr>
            <w:tcW w:w="736" w:type="dxa"/>
            <w:noWrap w:val="0"/>
            <w:vAlign w:val="center"/>
          </w:tcPr>
          <w:p>
            <w:pPr>
              <w:spacing w:line="240" w:lineRule="exact"/>
              <w:jc w:val="center"/>
              <w:rPr>
                <w:rFonts w:hint="eastAsia" w:ascii="宋体" w:hAnsi="宋体"/>
                <w:b/>
                <w:sz w:val="21"/>
                <w:szCs w:val="21"/>
              </w:rPr>
            </w:pPr>
            <w:r>
              <w:rPr>
                <w:rFonts w:hint="eastAsia" w:ascii="宋体" w:hAnsi="宋体"/>
                <w:b/>
                <w:sz w:val="21"/>
                <w:szCs w:val="21"/>
              </w:rPr>
              <w:t>总层数</w:t>
            </w:r>
          </w:p>
        </w:tc>
        <w:tc>
          <w:tcPr>
            <w:tcW w:w="750" w:type="dxa"/>
            <w:noWrap w:val="0"/>
            <w:vAlign w:val="center"/>
          </w:tcPr>
          <w:p>
            <w:pPr>
              <w:spacing w:line="240" w:lineRule="exact"/>
              <w:jc w:val="center"/>
              <w:rPr>
                <w:rFonts w:hint="eastAsia" w:ascii="宋体" w:hAnsi="宋体"/>
                <w:b/>
                <w:sz w:val="21"/>
                <w:szCs w:val="21"/>
              </w:rPr>
            </w:pPr>
            <w:r>
              <w:rPr>
                <w:rFonts w:hint="eastAsia" w:ascii="宋体" w:hAnsi="宋体"/>
                <w:b/>
                <w:sz w:val="21"/>
                <w:szCs w:val="21"/>
              </w:rPr>
              <w:t>所在层</w:t>
            </w:r>
          </w:p>
        </w:tc>
        <w:tc>
          <w:tcPr>
            <w:tcW w:w="737" w:type="dxa"/>
            <w:noWrap w:val="0"/>
            <w:vAlign w:val="center"/>
          </w:tcPr>
          <w:p>
            <w:pPr>
              <w:spacing w:line="240" w:lineRule="exact"/>
              <w:jc w:val="center"/>
              <w:rPr>
                <w:rFonts w:hint="eastAsia" w:ascii="宋体" w:hAnsi="宋体"/>
                <w:b/>
                <w:sz w:val="21"/>
                <w:szCs w:val="21"/>
              </w:rPr>
            </w:pPr>
            <w:r>
              <w:rPr>
                <w:rFonts w:hint="eastAsia" w:ascii="宋体" w:hAnsi="宋体"/>
                <w:b/>
                <w:sz w:val="21"/>
                <w:szCs w:val="21"/>
              </w:rPr>
              <w:t>建造年代</w:t>
            </w:r>
          </w:p>
        </w:tc>
        <w:tc>
          <w:tcPr>
            <w:tcW w:w="995" w:type="dxa"/>
            <w:noWrap w:val="0"/>
            <w:vAlign w:val="center"/>
          </w:tcPr>
          <w:p>
            <w:pPr>
              <w:spacing w:line="240" w:lineRule="exact"/>
              <w:jc w:val="center"/>
              <w:rPr>
                <w:rFonts w:hint="eastAsia" w:ascii="宋体" w:hAnsi="宋体"/>
                <w:b/>
                <w:sz w:val="21"/>
                <w:szCs w:val="21"/>
              </w:rPr>
            </w:pPr>
            <w:r>
              <w:rPr>
                <w:rFonts w:hint="eastAsia" w:ascii="宋体" w:hAnsi="宋体"/>
                <w:b/>
                <w:sz w:val="21"/>
                <w:szCs w:val="21"/>
              </w:rPr>
              <w:t>面积</w:t>
            </w:r>
          </w:p>
          <w:p>
            <w:pPr>
              <w:spacing w:line="240" w:lineRule="exact"/>
              <w:jc w:val="center"/>
              <w:rPr>
                <w:rFonts w:hint="eastAsia" w:ascii="宋体" w:hAnsi="宋体"/>
                <w:b/>
                <w:sz w:val="21"/>
                <w:szCs w:val="21"/>
              </w:rPr>
            </w:pPr>
            <w:r>
              <w:rPr>
                <w:rFonts w:hint="eastAsia" w:ascii="宋体" w:hAnsi="宋体"/>
                <w:b/>
                <w:sz w:val="21"/>
                <w:szCs w:val="21"/>
              </w:rPr>
              <w:t>（㎡)</w:t>
            </w:r>
          </w:p>
        </w:tc>
        <w:tc>
          <w:tcPr>
            <w:tcW w:w="996" w:type="dxa"/>
            <w:noWrap w:val="0"/>
            <w:vAlign w:val="center"/>
          </w:tcPr>
          <w:p>
            <w:pPr>
              <w:spacing w:line="240" w:lineRule="exact"/>
              <w:jc w:val="center"/>
              <w:rPr>
                <w:rFonts w:hint="eastAsia" w:ascii="宋体" w:hAnsi="宋体"/>
                <w:b/>
                <w:sz w:val="21"/>
                <w:szCs w:val="21"/>
              </w:rPr>
            </w:pPr>
            <w:r>
              <w:rPr>
                <w:rFonts w:hint="eastAsia" w:ascii="宋体" w:hAnsi="宋体"/>
                <w:b/>
                <w:sz w:val="21"/>
                <w:szCs w:val="21"/>
              </w:rPr>
              <w:t>单价</w:t>
            </w:r>
          </w:p>
          <w:p>
            <w:pPr>
              <w:spacing w:line="240" w:lineRule="exact"/>
              <w:jc w:val="center"/>
              <w:rPr>
                <w:rFonts w:hint="eastAsia" w:ascii="宋体" w:hAnsi="宋体"/>
                <w:b/>
                <w:sz w:val="21"/>
                <w:szCs w:val="21"/>
              </w:rPr>
            </w:pPr>
            <w:r>
              <w:rPr>
                <w:rFonts w:hint="eastAsia" w:ascii="宋体" w:hAnsi="宋体"/>
                <w:b/>
                <w:sz w:val="21"/>
                <w:szCs w:val="21"/>
              </w:rPr>
              <w:t>(元/㎡)</w:t>
            </w:r>
          </w:p>
        </w:tc>
        <w:tc>
          <w:tcPr>
            <w:tcW w:w="1118" w:type="dxa"/>
            <w:noWrap w:val="0"/>
            <w:vAlign w:val="center"/>
          </w:tcPr>
          <w:p>
            <w:pPr>
              <w:spacing w:line="240" w:lineRule="exact"/>
              <w:jc w:val="center"/>
              <w:rPr>
                <w:rFonts w:hint="eastAsia" w:ascii="宋体" w:hAnsi="宋体"/>
                <w:b/>
                <w:sz w:val="21"/>
                <w:szCs w:val="21"/>
              </w:rPr>
            </w:pPr>
            <w:r>
              <w:rPr>
                <w:rFonts w:hint="eastAsia" w:ascii="宋体" w:hAnsi="宋体"/>
                <w:b/>
                <w:sz w:val="21"/>
                <w:szCs w:val="21"/>
              </w:rPr>
              <w:t>市场价格</w:t>
            </w:r>
          </w:p>
          <w:p>
            <w:pPr>
              <w:spacing w:line="240" w:lineRule="exact"/>
              <w:jc w:val="center"/>
              <w:rPr>
                <w:rFonts w:hint="eastAsia" w:ascii="宋体" w:hAnsi="宋体"/>
                <w:b/>
                <w:sz w:val="21"/>
                <w:szCs w:val="21"/>
              </w:rPr>
            </w:pPr>
            <w:r>
              <w:rPr>
                <w:rFonts w:hint="eastAsia" w:ascii="宋体" w:hAnsi="宋体"/>
                <w:b/>
                <w:sz w:val="21"/>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trPr>
        <w:tc>
          <w:tcPr>
            <w:tcW w:w="1169" w:type="dxa"/>
            <w:noWrap w:val="0"/>
            <w:vAlign w:val="center"/>
          </w:tcPr>
          <w:p>
            <w:pPr>
              <w:spacing w:line="240" w:lineRule="exact"/>
              <w:jc w:val="center"/>
              <w:rPr>
                <w:rFonts w:hint="eastAsia" w:ascii="宋体" w:hAnsi="宋体" w:eastAsia="宋体"/>
                <w:sz w:val="21"/>
                <w:szCs w:val="21"/>
                <w:lang w:eastAsia="zh-CN"/>
              </w:rPr>
            </w:pPr>
            <w:r>
              <w:rPr>
                <w:rFonts w:hint="eastAsia" w:ascii="宋体" w:hAnsi="宋体"/>
                <w:sz w:val="21"/>
                <w:szCs w:val="21"/>
                <w:lang w:eastAsia="zh-CN"/>
              </w:rPr>
              <w:t>马占东、王晶</w:t>
            </w:r>
          </w:p>
        </w:tc>
        <w:tc>
          <w:tcPr>
            <w:tcW w:w="1531" w:type="dxa"/>
            <w:noWrap w:val="0"/>
            <w:vAlign w:val="center"/>
          </w:tcPr>
          <w:p>
            <w:pPr>
              <w:spacing w:line="240" w:lineRule="exact"/>
              <w:jc w:val="center"/>
              <w:rPr>
                <w:rFonts w:hint="eastAsia" w:ascii="宋体" w:hAnsi="宋体" w:eastAsia="宋体"/>
                <w:sz w:val="21"/>
                <w:szCs w:val="21"/>
                <w:lang w:eastAsia="zh-CN"/>
              </w:rPr>
            </w:pPr>
            <w:r>
              <w:rPr>
                <w:rFonts w:hint="eastAsia" w:ascii="宋体" w:hAnsi="宋体"/>
                <w:sz w:val="21"/>
                <w:szCs w:val="21"/>
                <w:lang w:eastAsia="zh-CN"/>
              </w:rPr>
              <w:t>平房权证平罗县字第2011-35828号</w:t>
            </w:r>
          </w:p>
        </w:tc>
        <w:tc>
          <w:tcPr>
            <w:tcW w:w="1729" w:type="dxa"/>
            <w:noWrap w:val="0"/>
            <w:vAlign w:val="center"/>
          </w:tcPr>
          <w:p>
            <w:pPr>
              <w:spacing w:line="240" w:lineRule="exact"/>
              <w:jc w:val="center"/>
              <w:rPr>
                <w:rFonts w:hint="eastAsia" w:ascii="宋体" w:hAnsi="宋体" w:eastAsia="宋体"/>
                <w:sz w:val="21"/>
                <w:szCs w:val="21"/>
                <w:lang w:eastAsia="zh-CN"/>
              </w:rPr>
            </w:pPr>
            <w:r>
              <w:rPr>
                <w:rFonts w:hint="eastAsia" w:ascii="宋体" w:hAnsi="宋体"/>
                <w:sz w:val="21"/>
                <w:szCs w:val="21"/>
                <w:lang w:eastAsia="zh-CN"/>
              </w:rPr>
              <w:t>平罗县建设路北侧银北丽景13幢1单元401号</w:t>
            </w:r>
          </w:p>
        </w:tc>
        <w:tc>
          <w:tcPr>
            <w:tcW w:w="426" w:type="dxa"/>
            <w:noWrap w:val="0"/>
            <w:vAlign w:val="center"/>
          </w:tcPr>
          <w:p>
            <w:pPr>
              <w:spacing w:line="240" w:lineRule="exact"/>
              <w:jc w:val="center"/>
              <w:rPr>
                <w:rFonts w:hint="eastAsia" w:ascii="宋体" w:hAnsi="宋体" w:eastAsia="宋体"/>
                <w:sz w:val="21"/>
                <w:szCs w:val="21"/>
                <w:lang w:eastAsia="zh-CN"/>
              </w:rPr>
            </w:pPr>
            <w:r>
              <w:rPr>
                <w:rFonts w:hint="eastAsia" w:ascii="宋体" w:hAnsi="宋体"/>
                <w:sz w:val="21"/>
                <w:szCs w:val="21"/>
                <w:lang w:eastAsia="zh-CN"/>
              </w:rPr>
              <w:t>混合</w:t>
            </w:r>
          </w:p>
        </w:tc>
        <w:tc>
          <w:tcPr>
            <w:tcW w:w="736" w:type="dxa"/>
            <w:noWrap w:val="0"/>
            <w:vAlign w:val="center"/>
          </w:tcPr>
          <w:p>
            <w:pPr>
              <w:spacing w:line="240" w:lineRule="exact"/>
              <w:jc w:val="center"/>
              <w:rPr>
                <w:rFonts w:hint="eastAsia" w:ascii="宋体" w:hAnsi="宋体" w:eastAsia="宋体"/>
                <w:sz w:val="21"/>
                <w:szCs w:val="21"/>
                <w:lang w:eastAsia="zh-CN"/>
              </w:rPr>
            </w:pPr>
            <w:r>
              <w:rPr>
                <w:rFonts w:hint="eastAsia" w:ascii="宋体" w:hAnsi="宋体"/>
                <w:sz w:val="21"/>
                <w:szCs w:val="21"/>
                <w:lang w:val="en-US" w:eastAsia="zh-CN"/>
              </w:rPr>
              <w:t>6</w:t>
            </w:r>
          </w:p>
        </w:tc>
        <w:tc>
          <w:tcPr>
            <w:tcW w:w="750" w:type="dxa"/>
            <w:noWrap w:val="0"/>
            <w:vAlign w:val="center"/>
          </w:tcPr>
          <w:p>
            <w:pPr>
              <w:spacing w:line="240" w:lineRule="exact"/>
              <w:jc w:val="center"/>
              <w:rPr>
                <w:rFonts w:hint="eastAsia" w:ascii="宋体" w:hAnsi="宋体" w:eastAsia="宋体"/>
                <w:sz w:val="21"/>
                <w:szCs w:val="21"/>
                <w:lang w:eastAsia="zh-CN"/>
              </w:rPr>
            </w:pPr>
            <w:r>
              <w:rPr>
                <w:rFonts w:hint="eastAsia" w:ascii="宋体" w:hAnsi="宋体"/>
                <w:sz w:val="21"/>
                <w:szCs w:val="21"/>
                <w:lang w:val="en-US" w:eastAsia="zh-CN"/>
              </w:rPr>
              <w:t>4</w:t>
            </w:r>
          </w:p>
        </w:tc>
        <w:tc>
          <w:tcPr>
            <w:tcW w:w="737" w:type="dxa"/>
            <w:noWrap w:val="0"/>
            <w:vAlign w:val="center"/>
          </w:tcPr>
          <w:p>
            <w:pPr>
              <w:spacing w:line="240" w:lineRule="exact"/>
              <w:jc w:val="center"/>
              <w:rPr>
                <w:rFonts w:hint="eastAsia" w:ascii="宋体" w:hAnsi="宋体" w:eastAsia="宋体"/>
                <w:sz w:val="21"/>
                <w:szCs w:val="21"/>
                <w:lang w:eastAsia="zh-CN"/>
              </w:rPr>
            </w:pPr>
            <w:r>
              <w:rPr>
                <w:rFonts w:hint="eastAsia" w:ascii="宋体" w:hAnsi="宋体"/>
                <w:sz w:val="21"/>
                <w:szCs w:val="21"/>
              </w:rPr>
              <w:t>200</w:t>
            </w:r>
            <w:r>
              <w:rPr>
                <w:rFonts w:hint="eastAsia" w:ascii="宋体" w:hAnsi="宋体"/>
                <w:sz w:val="21"/>
                <w:szCs w:val="21"/>
                <w:lang w:val="en-US" w:eastAsia="zh-CN"/>
              </w:rPr>
              <w:t>9</w:t>
            </w:r>
          </w:p>
        </w:tc>
        <w:tc>
          <w:tcPr>
            <w:tcW w:w="995" w:type="dxa"/>
            <w:noWrap w:val="0"/>
            <w:vAlign w:val="center"/>
          </w:tcPr>
          <w:p>
            <w:pPr>
              <w:widowControl/>
              <w:spacing w:line="240" w:lineRule="exact"/>
              <w:jc w:val="center"/>
              <w:rPr>
                <w:rFonts w:hint="eastAsia" w:ascii="宋体" w:hAnsi="宋体" w:eastAsia="宋体" w:cs="宋体"/>
                <w:color w:val="000000"/>
                <w:kern w:val="0"/>
                <w:sz w:val="21"/>
                <w:szCs w:val="21"/>
                <w:lang w:eastAsia="zh-CN"/>
              </w:rPr>
            </w:pPr>
            <w:r>
              <w:rPr>
                <w:rFonts w:hint="eastAsia" w:ascii="宋体" w:hAnsi="宋体" w:cs="宋体"/>
                <w:color w:val="000000"/>
                <w:kern w:val="0"/>
                <w:sz w:val="21"/>
                <w:szCs w:val="21"/>
                <w:lang w:eastAsia="zh-CN"/>
              </w:rPr>
              <w:t>121.12</w:t>
            </w:r>
          </w:p>
        </w:tc>
        <w:tc>
          <w:tcPr>
            <w:tcW w:w="996" w:type="dxa"/>
            <w:noWrap w:val="0"/>
            <w:vAlign w:val="center"/>
          </w:tcPr>
          <w:p>
            <w:pPr>
              <w:spacing w:line="240" w:lineRule="exact"/>
              <w:jc w:val="center"/>
              <w:rPr>
                <w:rFonts w:hint="eastAsia" w:ascii="宋体" w:hAnsi="宋体" w:eastAsia="宋体"/>
                <w:sz w:val="21"/>
                <w:szCs w:val="21"/>
                <w:lang w:eastAsia="zh-CN"/>
              </w:rPr>
            </w:pPr>
            <w:r>
              <w:rPr>
                <w:rFonts w:hint="eastAsia" w:ascii="宋体" w:hAnsi="宋体"/>
                <w:sz w:val="21"/>
                <w:szCs w:val="21"/>
                <w:lang w:eastAsia="zh-CN"/>
              </w:rPr>
              <w:t>3009</w:t>
            </w:r>
          </w:p>
        </w:tc>
        <w:tc>
          <w:tcPr>
            <w:tcW w:w="1118" w:type="dxa"/>
            <w:noWrap w:val="0"/>
            <w:vAlign w:val="center"/>
          </w:tcPr>
          <w:p>
            <w:pPr>
              <w:spacing w:line="240" w:lineRule="exact"/>
              <w:jc w:val="center"/>
              <w:rPr>
                <w:rFonts w:hint="eastAsia" w:ascii="宋体" w:hAnsi="宋体" w:eastAsia="宋体"/>
                <w:sz w:val="21"/>
                <w:szCs w:val="21"/>
                <w:lang w:eastAsia="zh-CN"/>
              </w:rPr>
            </w:pPr>
            <w:r>
              <w:rPr>
                <w:rFonts w:hint="eastAsia" w:ascii="宋体" w:hAnsi="宋体"/>
                <w:sz w:val="21"/>
                <w:szCs w:val="21"/>
                <w:lang w:eastAsia="zh-CN"/>
              </w:rPr>
              <w:t>364450</w:t>
            </w:r>
          </w:p>
        </w:tc>
      </w:tr>
    </w:tbl>
    <w:p>
      <w:pPr>
        <w:pStyle w:val="2"/>
        <w:spacing w:before="0" w:after="0" w:line="500" w:lineRule="exact"/>
        <w:ind w:firstLine="562" w:firstLineChars="200"/>
        <w:rPr>
          <w:rFonts w:hint="eastAsia"/>
          <w:sz w:val="28"/>
          <w:szCs w:val="28"/>
        </w:rPr>
      </w:pPr>
      <w:bookmarkStart w:id="28" w:name="_Toc27823899"/>
      <w:bookmarkStart w:id="29" w:name="_Toc61938704"/>
      <w:r>
        <w:rPr>
          <w:rFonts w:hint="eastAsia"/>
          <w:sz w:val="28"/>
          <w:szCs w:val="28"/>
        </w:rPr>
        <w:t>十一、注册房地产估价师：</w:t>
      </w:r>
      <w:bookmarkEnd w:id="28"/>
      <w:bookmarkEnd w:id="29"/>
    </w:p>
    <w:p>
      <w:pPr>
        <w:spacing w:line="500" w:lineRule="exact"/>
        <w:ind w:firstLine="562" w:firstLineChars="200"/>
        <w:jc w:val="center"/>
        <w:rPr>
          <w:rFonts w:hint="eastAsia" w:ascii="宋体" w:hAnsi="宋体"/>
          <w:b/>
          <w:bCs/>
          <w:sz w:val="28"/>
          <w:szCs w:val="28"/>
        </w:rPr>
      </w:pPr>
      <w:r>
        <w:rPr>
          <w:rFonts w:hint="eastAsia" w:ascii="宋体" w:hAnsi="宋体"/>
          <w:b/>
          <w:bCs/>
          <w:sz w:val="28"/>
          <w:szCs w:val="28"/>
        </w:rPr>
        <w:t>参加估价的注册房地产估价师</w:t>
      </w:r>
    </w:p>
    <w:tbl>
      <w:tblPr>
        <w:tblStyle w:val="9"/>
        <w:tblW w:w="10280" w:type="dxa"/>
        <w:tblInd w:w="-10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5"/>
        <w:gridCol w:w="2645"/>
        <w:gridCol w:w="2642"/>
        <w:gridCol w:w="2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6" w:hRule="atLeast"/>
        </w:trPr>
        <w:tc>
          <w:tcPr>
            <w:tcW w:w="2175" w:type="dxa"/>
            <w:noWrap w:val="0"/>
            <w:vAlign w:val="center"/>
          </w:tcPr>
          <w:p>
            <w:pPr>
              <w:spacing w:line="360" w:lineRule="exact"/>
              <w:jc w:val="center"/>
              <w:rPr>
                <w:rFonts w:hint="eastAsia" w:ascii="宋体" w:hAnsi="宋体"/>
                <w:sz w:val="28"/>
                <w:szCs w:val="28"/>
              </w:rPr>
            </w:pPr>
            <w:r>
              <w:rPr>
                <w:rFonts w:hint="eastAsia" w:ascii="宋体" w:hAnsi="宋体"/>
                <w:sz w:val="28"/>
                <w:szCs w:val="28"/>
              </w:rPr>
              <w:t>姓名</w:t>
            </w:r>
          </w:p>
        </w:tc>
        <w:tc>
          <w:tcPr>
            <w:tcW w:w="2645" w:type="dxa"/>
            <w:noWrap w:val="0"/>
            <w:vAlign w:val="center"/>
          </w:tcPr>
          <w:p>
            <w:pPr>
              <w:spacing w:line="360" w:lineRule="exact"/>
              <w:jc w:val="center"/>
              <w:rPr>
                <w:rFonts w:hint="eastAsia" w:ascii="宋体" w:hAnsi="宋体"/>
                <w:sz w:val="28"/>
                <w:szCs w:val="28"/>
              </w:rPr>
            </w:pPr>
            <w:r>
              <w:rPr>
                <w:rFonts w:hint="eastAsia" w:ascii="宋体" w:hAnsi="宋体"/>
                <w:sz w:val="28"/>
                <w:szCs w:val="28"/>
              </w:rPr>
              <w:t>注册号</w:t>
            </w:r>
          </w:p>
        </w:tc>
        <w:tc>
          <w:tcPr>
            <w:tcW w:w="2642" w:type="dxa"/>
            <w:noWrap w:val="0"/>
            <w:vAlign w:val="center"/>
          </w:tcPr>
          <w:p>
            <w:pPr>
              <w:spacing w:line="360" w:lineRule="exact"/>
              <w:jc w:val="center"/>
              <w:rPr>
                <w:rFonts w:hint="eastAsia" w:ascii="宋体" w:hAnsi="宋体"/>
                <w:sz w:val="28"/>
                <w:szCs w:val="28"/>
              </w:rPr>
            </w:pPr>
            <w:r>
              <w:rPr>
                <w:rFonts w:hint="eastAsia" w:ascii="宋体" w:hAnsi="宋体"/>
                <w:sz w:val="28"/>
                <w:szCs w:val="28"/>
              </w:rPr>
              <w:t>签 名</w:t>
            </w:r>
          </w:p>
        </w:tc>
        <w:tc>
          <w:tcPr>
            <w:tcW w:w="2818" w:type="dxa"/>
            <w:noWrap w:val="0"/>
            <w:vAlign w:val="center"/>
          </w:tcPr>
          <w:p>
            <w:pPr>
              <w:spacing w:line="360" w:lineRule="exact"/>
              <w:jc w:val="center"/>
              <w:rPr>
                <w:rFonts w:hint="eastAsia" w:ascii="宋体" w:hAnsi="宋体"/>
                <w:sz w:val="28"/>
                <w:szCs w:val="28"/>
              </w:rPr>
            </w:pPr>
            <w:r>
              <w:rPr>
                <w:rFonts w:hint="eastAsia" w:ascii="宋体" w:hAnsi="宋体"/>
                <w:sz w:val="28"/>
                <w:szCs w:val="28"/>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7" w:hRule="atLeast"/>
        </w:trPr>
        <w:tc>
          <w:tcPr>
            <w:tcW w:w="2175" w:type="dxa"/>
            <w:noWrap w:val="0"/>
            <w:vAlign w:val="center"/>
          </w:tcPr>
          <w:p>
            <w:pPr>
              <w:spacing w:line="360" w:lineRule="exact"/>
              <w:jc w:val="center"/>
              <w:rPr>
                <w:rFonts w:hint="eastAsia" w:ascii="宋体" w:hAnsi="宋体" w:eastAsia="宋体"/>
                <w:sz w:val="28"/>
                <w:szCs w:val="28"/>
                <w:lang w:eastAsia="zh-CN"/>
              </w:rPr>
            </w:pPr>
            <w:r>
              <w:rPr>
                <w:rFonts w:hint="eastAsia" w:ascii="宋体" w:hAnsi="宋体"/>
                <w:sz w:val="28"/>
                <w:szCs w:val="28"/>
                <w:lang w:eastAsia="zh-CN"/>
              </w:rPr>
              <w:t>张振琴</w:t>
            </w:r>
          </w:p>
        </w:tc>
        <w:tc>
          <w:tcPr>
            <w:tcW w:w="2645" w:type="dxa"/>
            <w:noWrap w:val="0"/>
            <w:vAlign w:val="center"/>
          </w:tcPr>
          <w:p>
            <w:pPr>
              <w:spacing w:line="360" w:lineRule="exact"/>
              <w:jc w:val="center"/>
              <w:rPr>
                <w:rFonts w:ascii="宋体" w:hAnsi="宋体"/>
                <w:sz w:val="28"/>
                <w:szCs w:val="28"/>
              </w:rPr>
            </w:pPr>
            <w:r>
              <w:rPr>
                <w:rFonts w:hint="eastAsia" w:ascii="宋体" w:hAnsi="宋体"/>
                <w:sz w:val="28"/>
                <w:szCs w:val="28"/>
              </w:rPr>
              <w:t>注册房地产估价师</w:t>
            </w:r>
          </w:p>
          <w:p>
            <w:pPr>
              <w:spacing w:line="360" w:lineRule="exact"/>
              <w:jc w:val="center"/>
              <w:rPr>
                <w:rFonts w:hint="default" w:ascii="宋体" w:hAnsi="宋体" w:eastAsia="宋体"/>
                <w:sz w:val="28"/>
                <w:szCs w:val="28"/>
                <w:lang w:val="en-US" w:eastAsia="zh-CN"/>
              </w:rPr>
            </w:pPr>
            <w:r>
              <w:rPr>
                <w:rFonts w:hint="eastAsia" w:ascii="宋体" w:hAnsi="宋体"/>
                <w:sz w:val="28"/>
                <w:szCs w:val="28"/>
                <w:lang w:eastAsia="zh-CN"/>
              </w:rPr>
              <w:t>6420</w:t>
            </w:r>
            <w:r>
              <w:rPr>
                <w:rFonts w:hint="eastAsia" w:ascii="宋体" w:hAnsi="宋体"/>
                <w:sz w:val="28"/>
                <w:szCs w:val="28"/>
                <w:lang w:val="en-US" w:eastAsia="zh-CN"/>
              </w:rPr>
              <w:t>0</w:t>
            </w:r>
            <w:r>
              <w:rPr>
                <w:rFonts w:hint="eastAsia" w:ascii="宋体" w:hAnsi="宋体"/>
                <w:sz w:val="28"/>
                <w:szCs w:val="28"/>
                <w:lang w:eastAsia="zh-CN"/>
              </w:rPr>
              <w:t>000</w:t>
            </w:r>
            <w:r>
              <w:rPr>
                <w:rFonts w:hint="eastAsia" w:ascii="宋体" w:hAnsi="宋体"/>
                <w:sz w:val="28"/>
                <w:szCs w:val="28"/>
                <w:lang w:val="en-US" w:eastAsia="zh-CN"/>
              </w:rPr>
              <w:t>12</w:t>
            </w:r>
          </w:p>
        </w:tc>
        <w:tc>
          <w:tcPr>
            <w:tcW w:w="2642" w:type="dxa"/>
            <w:noWrap w:val="0"/>
            <w:vAlign w:val="center"/>
          </w:tcPr>
          <w:p>
            <w:pPr>
              <w:spacing w:line="360" w:lineRule="exact"/>
              <w:jc w:val="center"/>
              <w:rPr>
                <w:rFonts w:hint="eastAsia" w:ascii="宋体" w:hAnsi="宋体"/>
                <w:sz w:val="28"/>
                <w:szCs w:val="28"/>
              </w:rPr>
            </w:pPr>
          </w:p>
        </w:tc>
        <w:tc>
          <w:tcPr>
            <w:tcW w:w="2818" w:type="dxa"/>
            <w:noWrap w:val="0"/>
            <w:vAlign w:val="center"/>
          </w:tcPr>
          <w:p>
            <w:pPr>
              <w:spacing w:line="360" w:lineRule="exact"/>
              <w:jc w:val="right"/>
              <w:rPr>
                <w:rFonts w:hint="eastAsia" w:ascii="宋体" w:hAnsi="宋体"/>
                <w:sz w:val="28"/>
                <w:szCs w:val="28"/>
              </w:rPr>
            </w:pPr>
            <w:r>
              <w:rPr>
                <w:rFonts w:hint="eastAsia" w:ascii="宋体" w:hAnsi="宋体"/>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1" w:hRule="atLeast"/>
        </w:trPr>
        <w:tc>
          <w:tcPr>
            <w:tcW w:w="2175" w:type="dxa"/>
            <w:noWrap w:val="0"/>
            <w:vAlign w:val="center"/>
          </w:tcPr>
          <w:p>
            <w:pPr>
              <w:spacing w:line="360" w:lineRule="exact"/>
              <w:jc w:val="center"/>
              <w:rPr>
                <w:rFonts w:hint="eastAsia" w:ascii="宋体" w:hAnsi="宋体" w:eastAsia="宋体"/>
                <w:sz w:val="28"/>
                <w:szCs w:val="28"/>
                <w:lang w:eastAsia="zh-CN"/>
              </w:rPr>
            </w:pPr>
            <w:r>
              <w:rPr>
                <w:rFonts w:hint="eastAsia" w:ascii="宋体" w:hAnsi="宋体"/>
                <w:sz w:val="28"/>
                <w:szCs w:val="28"/>
                <w:lang w:eastAsia="zh-CN"/>
              </w:rPr>
              <w:t>吕永春</w:t>
            </w:r>
          </w:p>
        </w:tc>
        <w:tc>
          <w:tcPr>
            <w:tcW w:w="2645" w:type="dxa"/>
            <w:noWrap w:val="0"/>
            <w:vAlign w:val="center"/>
          </w:tcPr>
          <w:p>
            <w:pPr>
              <w:spacing w:line="360" w:lineRule="exact"/>
              <w:jc w:val="center"/>
              <w:rPr>
                <w:rFonts w:ascii="宋体" w:hAnsi="宋体"/>
                <w:sz w:val="28"/>
                <w:szCs w:val="28"/>
              </w:rPr>
            </w:pPr>
            <w:r>
              <w:rPr>
                <w:rFonts w:hint="eastAsia" w:ascii="宋体" w:hAnsi="宋体"/>
                <w:sz w:val="28"/>
                <w:szCs w:val="28"/>
              </w:rPr>
              <w:t>注册房地产估价师</w:t>
            </w:r>
          </w:p>
          <w:p>
            <w:pPr>
              <w:spacing w:line="360" w:lineRule="exact"/>
              <w:jc w:val="center"/>
              <w:rPr>
                <w:rFonts w:hint="eastAsia" w:ascii="宋体" w:hAnsi="宋体" w:eastAsia="宋体"/>
                <w:sz w:val="28"/>
                <w:szCs w:val="28"/>
                <w:lang w:eastAsia="zh-CN"/>
              </w:rPr>
            </w:pPr>
            <w:r>
              <w:rPr>
                <w:rFonts w:hint="eastAsia" w:ascii="宋体" w:hAnsi="宋体"/>
                <w:sz w:val="28"/>
                <w:szCs w:val="28"/>
                <w:lang w:eastAsia="zh-CN"/>
              </w:rPr>
              <w:t>6420200009</w:t>
            </w:r>
          </w:p>
        </w:tc>
        <w:tc>
          <w:tcPr>
            <w:tcW w:w="2642" w:type="dxa"/>
            <w:noWrap w:val="0"/>
            <w:vAlign w:val="center"/>
          </w:tcPr>
          <w:p>
            <w:pPr>
              <w:spacing w:line="360" w:lineRule="exact"/>
              <w:jc w:val="center"/>
              <w:rPr>
                <w:rFonts w:hint="eastAsia" w:ascii="宋体" w:hAnsi="宋体"/>
                <w:sz w:val="28"/>
                <w:szCs w:val="28"/>
              </w:rPr>
            </w:pPr>
          </w:p>
        </w:tc>
        <w:tc>
          <w:tcPr>
            <w:tcW w:w="2818" w:type="dxa"/>
            <w:noWrap w:val="0"/>
            <w:vAlign w:val="center"/>
          </w:tcPr>
          <w:p>
            <w:pPr>
              <w:spacing w:line="360" w:lineRule="exact"/>
              <w:jc w:val="right"/>
              <w:rPr>
                <w:rFonts w:hint="eastAsia" w:ascii="宋体" w:hAnsi="宋体"/>
                <w:sz w:val="28"/>
                <w:szCs w:val="28"/>
              </w:rPr>
            </w:pPr>
            <w:r>
              <w:rPr>
                <w:rFonts w:hint="eastAsia" w:ascii="宋体" w:hAnsi="宋体"/>
                <w:sz w:val="28"/>
                <w:szCs w:val="28"/>
              </w:rPr>
              <w:t>年  月  日</w:t>
            </w:r>
          </w:p>
        </w:tc>
      </w:tr>
    </w:tbl>
    <w:p>
      <w:pPr>
        <w:pStyle w:val="2"/>
        <w:spacing w:before="0" w:after="0" w:line="500" w:lineRule="exact"/>
        <w:ind w:firstLine="562" w:firstLineChars="200"/>
        <w:rPr>
          <w:rFonts w:hint="eastAsia"/>
          <w:sz w:val="28"/>
          <w:szCs w:val="28"/>
        </w:rPr>
      </w:pPr>
      <w:bookmarkStart w:id="30" w:name="_Toc61938705"/>
      <w:bookmarkStart w:id="31" w:name="_Toc27823900"/>
      <w:r>
        <w:rPr>
          <w:rFonts w:hint="eastAsia"/>
          <w:sz w:val="28"/>
          <w:szCs w:val="28"/>
        </w:rPr>
        <w:t>十二、实地查勘期：</w:t>
      </w:r>
      <w:bookmarkEnd w:id="30"/>
      <w:bookmarkEnd w:id="31"/>
    </w:p>
    <w:p>
      <w:pPr>
        <w:spacing w:line="500" w:lineRule="exact"/>
        <w:rPr>
          <w:rFonts w:hint="eastAsia" w:ascii="宋体" w:hAnsi="宋体"/>
          <w:sz w:val="28"/>
          <w:szCs w:val="28"/>
        </w:rPr>
      </w:pPr>
      <w:r>
        <w:rPr>
          <w:rFonts w:hint="eastAsia" w:ascii="宋体" w:hAnsi="宋体"/>
          <w:sz w:val="28"/>
          <w:lang w:val="en-US" w:eastAsia="zh-CN"/>
        </w:rPr>
        <w:t xml:space="preserve">    2</w:t>
      </w:r>
      <w:r>
        <w:rPr>
          <w:rFonts w:hint="eastAsia" w:ascii="宋体" w:hAnsi="宋体"/>
          <w:sz w:val="28"/>
        </w:rPr>
        <w:t>021年7月</w:t>
      </w:r>
      <w:r>
        <w:rPr>
          <w:rFonts w:hint="eastAsia" w:ascii="宋体" w:hAnsi="宋体"/>
          <w:sz w:val="28"/>
          <w:lang w:val="en-US" w:eastAsia="zh-CN"/>
        </w:rPr>
        <w:t>16</w:t>
      </w:r>
      <w:r>
        <w:rPr>
          <w:rFonts w:hint="eastAsia" w:ascii="宋体" w:hAnsi="宋体"/>
          <w:sz w:val="28"/>
        </w:rPr>
        <w:t>日至2021年7月</w:t>
      </w:r>
      <w:r>
        <w:rPr>
          <w:rFonts w:hint="eastAsia" w:ascii="宋体" w:hAnsi="宋体"/>
          <w:sz w:val="28"/>
          <w:lang w:val="en-US" w:eastAsia="zh-CN"/>
        </w:rPr>
        <w:t>16</w:t>
      </w:r>
      <w:r>
        <w:rPr>
          <w:rFonts w:hint="eastAsia" w:ascii="宋体" w:hAnsi="宋体"/>
          <w:sz w:val="28"/>
        </w:rPr>
        <w:t>日</w:t>
      </w:r>
    </w:p>
    <w:p>
      <w:pPr>
        <w:numPr>
          <w:ilvl w:val="0"/>
          <w:numId w:val="0"/>
        </w:numPr>
        <w:spacing w:line="500" w:lineRule="exact"/>
        <w:ind w:firstLine="562" w:firstLineChars="200"/>
        <w:rPr>
          <w:rFonts w:hint="eastAsia"/>
          <w:b/>
          <w:bCs/>
          <w:sz w:val="28"/>
          <w:szCs w:val="28"/>
        </w:rPr>
      </w:pPr>
      <w:bookmarkStart w:id="32" w:name="_Toc27823901"/>
      <w:bookmarkStart w:id="33" w:name="_Toc61938706"/>
      <w:r>
        <w:rPr>
          <w:rFonts w:hint="eastAsia"/>
          <w:b/>
          <w:bCs/>
          <w:sz w:val="28"/>
          <w:szCs w:val="28"/>
          <w:lang w:eastAsia="zh-CN"/>
        </w:rPr>
        <w:t>十三、</w:t>
      </w:r>
      <w:r>
        <w:rPr>
          <w:rFonts w:hint="eastAsia"/>
          <w:b/>
          <w:bCs/>
          <w:sz w:val="28"/>
          <w:szCs w:val="28"/>
        </w:rPr>
        <w:t>估价作业期：</w:t>
      </w:r>
      <w:bookmarkEnd w:id="32"/>
      <w:bookmarkEnd w:id="33"/>
    </w:p>
    <w:p>
      <w:pPr>
        <w:numPr>
          <w:ilvl w:val="0"/>
          <w:numId w:val="0"/>
        </w:numPr>
        <w:spacing w:line="500" w:lineRule="exact"/>
        <w:ind w:firstLine="560" w:firstLineChars="200"/>
        <w:rPr>
          <w:rFonts w:hint="eastAsia"/>
          <w:sz w:val="28"/>
          <w:szCs w:val="28"/>
        </w:rPr>
      </w:pPr>
      <w:r>
        <w:rPr>
          <w:rFonts w:hint="eastAsia" w:ascii="宋体" w:hAnsi="宋体"/>
          <w:sz w:val="28"/>
        </w:rPr>
        <w:t>2021年7月</w:t>
      </w:r>
      <w:r>
        <w:rPr>
          <w:rFonts w:hint="eastAsia" w:ascii="宋体" w:hAnsi="宋体"/>
          <w:sz w:val="28"/>
          <w:lang w:val="en-US" w:eastAsia="zh-CN"/>
        </w:rPr>
        <w:t>16</w:t>
      </w:r>
      <w:r>
        <w:rPr>
          <w:rFonts w:hint="eastAsia" w:ascii="宋体" w:hAnsi="宋体"/>
          <w:sz w:val="28"/>
        </w:rPr>
        <w:t>日至2021年7月</w:t>
      </w:r>
      <w:r>
        <w:rPr>
          <w:rFonts w:hint="eastAsia" w:ascii="宋体" w:hAnsi="宋体"/>
          <w:sz w:val="28"/>
          <w:lang w:val="en-US" w:eastAsia="zh-CN"/>
        </w:rPr>
        <w:t>28</w:t>
      </w:r>
      <w:r>
        <w:rPr>
          <w:rFonts w:hint="eastAsia" w:ascii="宋体" w:hAnsi="宋体"/>
          <w:sz w:val="28"/>
        </w:rPr>
        <w:t>日</w:t>
      </w:r>
    </w:p>
    <w:p>
      <w:pPr>
        <w:pStyle w:val="2"/>
        <w:spacing w:before="0" w:after="0" w:line="500" w:lineRule="exact"/>
        <w:ind w:firstLine="562" w:firstLineChars="200"/>
        <w:rPr>
          <w:rFonts w:hint="eastAsia"/>
          <w:sz w:val="28"/>
          <w:szCs w:val="28"/>
        </w:rPr>
      </w:pPr>
      <w:bookmarkStart w:id="34" w:name="_Toc61938707"/>
      <w:bookmarkStart w:id="35" w:name="_Toc27823902"/>
      <w:r>
        <w:rPr>
          <w:rFonts w:hint="eastAsia"/>
          <w:sz w:val="28"/>
          <w:szCs w:val="28"/>
        </w:rPr>
        <w:t>十四、估价报告使用的有效期限：</w:t>
      </w:r>
      <w:bookmarkEnd w:id="34"/>
      <w:bookmarkEnd w:id="35"/>
    </w:p>
    <w:p>
      <w:pPr>
        <w:pStyle w:val="3"/>
        <w:spacing w:line="500" w:lineRule="exact"/>
        <w:ind w:left="0" w:leftChars="0" w:firstLine="560" w:firstLineChars="200"/>
        <w:rPr>
          <w:rFonts w:hint="eastAsia"/>
          <w:szCs w:val="28"/>
        </w:rPr>
      </w:pPr>
      <w:r>
        <w:rPr>
          <w:rFonts w:hint="eastAsia"/>
          <w:szCs w:val="28"/>
        </w:rPr>
        <w:t>本估价报告的使用有效期限为一年，</w:t>
      </w:r>
      <w:r>
        <w:rPr>
          <w:rFonts w:hint="eastAsia"/>
          <w:color w:val="FF0000"/>
          <w:szCs w:val="28"/>
        </w:rPr>
        <w:t>即二〇二一年</w:t>
      </w:r>
      <w:r>
        <w:rPr>
          <w:rFonts w:hint="eastAsia"/>
          <w:color w:val="FF0000"/>
          <w:szCs w:val="28"/>
          <w:lang w:eastAsia="zh-CN"/>
        </w:rPr>
        <w:t>七</w:t>
      </w:r>
      <w:r>
        <w:rPr>
          <w:rFonts w:hint="eastAsia"/>
          <w:color w:val="FF0000"/>
          <w:szCs w:val="28"/>
        </w:rPr>
        <w:t>月</w:t>
      </w:r>
      <w:r>
        <w:rPr>
          <w:rFonts w:hint="eastAsia"/>
          <w:color w:val="FF0000"/>
          <w:szCs w:val="28"/>
          <w:lang w:eastAsia="zh-CN"/>
        </w:rPr>
        <w:t>二十八</w:t>
      </w:r>
      <w:r>
        <w:rPr>
          <w:rFonts w:hint="eastAsia"/>
          <w:color w:val="FF0000"/>
          <w:szCs w:val="28"/>
        </w:rPr>
        <w:t>日至二〇二</w:t>
      </w:r>
      <w:r>
        <w:rPr>
          <w:rFonts w:hint="eastAsia"/>
          <w:color w:val="FF0000"/>
          <w:szCs w:val="28"/>
          <w:lang w:eastAsia="zh-CN"/>
        </w:rPr>
        <w:t>二</w:t>
      </w:r>
      <w:r>
        <w:rPr>
          <w:rFonts w:hint="eastAsia"/>
          <w:color w:val="FF0000"/>
          <w:szCs w:val="28"/>
        </w:rPr>
        <w:t>年</w:t>
      </w:r>
      <w:r>
        <w:rPr>
          <w:rFonts w:hint="eastAsia"/>
          <w:color w:val="FF0000"/>
          <w:szCs w:val="28"/>
          <w:lang w:eastAsia="zh-CN"/>
        </w:rPr>
        <w:t>七</w:t>
      </w:r>
      <w:r>
        <w:rPr>
          <w:rFonts w:hint="eastAsia"/>
          <w:color w:val="FF0000"/>
          <w:szCs w:val="28"/>
        </w:rPr>
        <w:t>月二十</w:t>
      </w:r>
      <w:r>
        <w:rPr>
          <w:rFonts w:hint="eastAsia"/>
          <w:color w:val="FF0000"/>
          <w:szCs w:val="28"/>
          <w:lang w:eastAsia="zh-CN"/>
        </w:rPr>
        <w:t>七</w:t>
      </w:r>
      <w:r>
        <w:rPr>
          <w:rFonts w:hint="eastAsia"/>
          <w:color w:val="FF0000"/>
          <w:szCs w:val="28"/>
        </w:rPr>
        <w:t>日</w:t>
      </w:r>
      <w:r>
        <w:rPr>
          <w:rFonts w:hint="eastAsia"/>
          <w:szCs w:val="28"/>
        </w:rPr>
        <w:t>，</w:t>
      </w:r>
      <w:r>
        <w:rPr>
          <w:rFonts w:hint="eastAsia"/>
          <w:color w:val="000000"/>
          <w:szCs w:val="28"/>
        </w:rPr>
        <w:t>但当房地产市场状况或房地产政</w:t>
      </w:r>
      <w:r>
        <w:rPr>
          <w:rFonts w:hint="eastAsia"/>
          <w:szCs w:val="28"/>
        </w:rPr>
        <w:t>策法规发生重大变化时，该有效期应相应调整。</w:t>
      </w:r>
    </w:p>
    <w:p>
      <w:pPr>
        <w:spacing w:line="500" w:lineRule="exact"/>
        <w:jc w:val="both"/>
        <w:rPr>
          <w:rFonts w:hint="eastAsia" w:ascii="宋体" w:hAnsi="宋体"/>
          <w:sz w:val="28"/>
          <w:szCs w:val="28"/>
        </w:rPr>
      </w:pPr>
    </w:p>
    <w:p>
      <w:pPr>
        <w:spacing w:line="500" w:lineRule="exact"/>
        <w:jc w:val="right"/>
        <w:rPr>
          <w:rFonts w:hint="eastAsia" w:ascii="宋体" w:hAnsi="宋体"/>
          <w:sz w:val="28"/>
          <w:szCs w:val="28"/>
        </w:rPr>
      </w:pPr>
    </w:p>
    <w:p>
      <w:pPr>
        <w:spacing w:line="500" w:lineRule="exact"/>
        <w:jc w:val="right"/>
        <w:rPr>
          <w:rFonts w:hint="eastAsia" w:ascii="宋体" w:hAnsi="宋体"/>
          <w:sz w:val="28"/>
          <w:szCs w:val="28"/>
        </w:rPr>
      </w:pPr>
      <w:r>
        <w:rPr>
          <w:rFonts w:hint="eastAsia" w:ascii="宋体" w:hAnsi="宋体"/>
          <w:sz w:val="28"/>
          <w:szCs w:val="28"/>
          <w:lang w:eastAsia="zh-CN"/>
        </w:rPr>
        <w:t>宁夏正达通房地产资产评估有限公司</w:t>
      </w:r>
    </w:p>
    <w:p>
      <w:pPr>
        <w:spacing w:line="500" w:lineRule="exact"/>
        <w:ind w:right="420"/>
        <w:jc w:val="right"/>
        <w:rPr>
          <w:rFonts w:hint="eastAsia" w:ascii="宋体" w:hAnsi="宋体"/>
          <w:sz w:val="28"/>
        </w:rPr>
      </w:pPr>
      <w:r>
        <w:rPr>
          <w:rFonts w:hint="eastAsia" w:ascii="宋体" w:hAnsi="宋体"/>
          <w:sz w:val="28"/>
          <w:szCs w:val="28"/>
        </w:rPr>
        <w:t>二〇二一年</w:t>
      </w:r>
      <w:r>
        <w:rPr>
          <w:rFonts w:hint="eastAsia" w:ascii="宋体" w:hAnsi="宋体"/>
          <w:sz w:val="28"/>
          <w:szCs w:val="28"/>
          <w:lang w:eastAsia="zh-CN"/>
        </w:rPr>
        <w:t>七</w:t>
      </w:r>
      <w:r>
        <w:rPr>
          <w:rFonts w:hint="eastAsia" w:ascii="宋体" w:hAnsi="宋体"/>
          <w:sz w:val="28"/>
          <w:szCs w:val="28"/>
        </w:rPr>
        <w:t>月</w:t>
      </w:r>
      <w:r>
        <w:rPr>
          <w:rFonts w:hint="eastAsia" w:ascii="宋体" w:hAnsi="宋体"/>
          <w:sz w:val="28"/>
          <w:szCs w:val="28"/>
          <w:lang w:eastAsia="zh-CN"/>
        </w:rPr>
        <w:t>二十八</w:t>
      </w:r>
      <w:r>
        <w:rPr>
          <w:rFonts w:hint="eastAsia" w:ascii="宋体" w:hAnsi="宋体"/>
          <w:sz w:val="28"/>
          <w:szCs w:val="28"/>
        </w:rPr>
        <w:t>日</w:t>
      </w:r>
      <w:r>
        <w:rPr>
          <w:rFonts w:hint="eastAsia" w:ascii="宋体" w:hAnsi="宋体"/>
          <w:sz w:val="28"/>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240" w:lineRule="exact"/>
      <w:rPr>
        <w:rFonts w:hint="eastAsia" w:ascii="宋体" w:hAnsi="宋体"/>
        <w:b/>
        <w:bCs/>
        <w:kern w:val="0"/>
        <w:szCs w:val="24"/>
        <w:u w:val="single"/>
      </w:rPr>
    </w:pPr>
    <w:r>
      <w:rPr>
        <w:rFonts w:hint="eastAsia" w:ascii="宋体" w:hAnsi="宋体"/>
        <w:b/>
        <w:bCs/>
        <w:kern w:val="0"/>
        <w:szCs w:val="24"/>
        <w:u w:val="single"/>
      </w:rPr>
      <w:t xml:space="preserve">                                                                                                 </w:t>
    </w:r>
  </w:p>
  <w:p>
    <w:pPr>
      <w:pStyle w:val="4"/>
      <w:spacing w:line="240" w:lineRule="exact"/>
      <w:ind w:left="1084" w:hanging="1084" w:hangingChars="600"/>
      <w:rPr>
        <w:rFonts w:ascii="宋体"/>
        <w:b/>
        <w:bCs/>
      </w:rPr>
    </w:pPr>
    <w:r>
      <w:rPr>
        <w:rFonts w:hint="eastAsia" w:ascii="宋体" w:hAnsi="宋体"/>
        <w:b/>
        <w:bCs/>
        <w:kern w:val="0"/>
        <w:szCs w:val="24"/>
      </w:rPr>
      <w:t xml:space="preserve">正达通评估                                                                         </w:t>
    </w:r>
  </w:p>
  <w:p>
    <w:pPr>
      <w:pStyle w:val="4"/>
      <w:spacing w:before="120" w:beforeLines="50" w:line="240" w:lineRule="exact"/>
      <w:ind w:left="8280" w:hanging="8280" w:hangingChars="4600"/>
      <w:jc w:val="both"/>
      <w:rPr>
        <w:rFonts w:ascii="宋体"/>
      </w:rPr>
    </w:pPr>
    <w:r>
      <w:rPr>
        <w:rFonts w:hint="eastAsia" w:ascii="宋体"/>
        <w:kern w:val="0"/>
        <w:szCs w:val="24"/>
      </w:rPr>
      <w:t xml:space="preserve">地址：银川市永康北巷111号正大商务六楼                               联系电话：（0951）6020565  </w:t>
    </w:r>
  </w:p>
  <w:p>
    <w:pPr>
      <w:pStyle w:val="4"/>
    </w:pPr>
  </w:p>
  <w:p>
    <w:pPr>
      <w:pStyle w:val="4"/>
      <w:spacing w:line="240" w:lineRule="exact"/>
      <w:rPr>
        <w:rFonts w:hint="eastAsia" w:ascii="宋体" w:hAnsi="宋体"/>
        <w:b/>
        <w:bCs/>
        <w:kern w:val="0"/>
        <w:szCs w:val="24"/>
      </w:rPr>
    </w:pPr>
  </w:p>
  <w:p>
    <w:pPr>
      <w:pStyle w:val="4"/>
      <w:spacing w:before="120" w:beforeLines="50" w:line="240" w:lineRule="exact"/>
      <w:jc w:val="both"/>
      <w:rPr>
        <w:rFonts w:hint="eastAsia" w:ascii="宋体"/>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240" w:lineRule="exact"/>
      <w:rPr>
        <w:rFonts w:hint="eastAsia" w:ascii="宋体" w:hAnsi="宋体"/>
        <w:b/>
        <w:bCs/>
        <w:kern w:val="0"/>
        <w:szCs w:val="24"/>
        <w:u w:val="single"/>
      </w:rPr>
    </w:pPr>
    <w:r>
      <w:rPr>
        <w:rFonts w:hint="eastAsia" w:ascii="宋体" w:hAnsi="宋体"/>
        <w:b/>
        <w:bCs/>
        <w:kern w:val="0"/>
        <w:szCs w:val="24"/>
        <w:u w:val="single"/>
      </w:rPr>
      <w:t xml:space="preserve">                                                                                                 </w:t>
    </w:r>
  </w:p>
  <w:p>
    <w:pPr>
      <w:pStyle w:val="4"/>
      <w:spacing w:line="240" w:lineRule="exact"/>
      <w:ind w:left="1084" w:hanging="1084" w:hangingChars="600"/>
      <w:rPr>
        <w:rFonts w:ascii="宋体"/>
        <w:b/>
        <w:bCs/>
      </w:rPr>
    </w:pPr>
    <w:r>
      <w:rPr>
        <w:rFonts w:hint="eastAsia" w:ascii="宋体" w:hAnsi="宋体"/>
        <w:b/>
        <w:bCs/>
        <w:kern w:val="0"/>
        <w:szCs w:val="24"/>
      </w:rPr>
      <w:t xml:space="preserve">正达通评估                                                                         </w:t>
    </w:r>
  </w:p>
  <w:p>
    <w:pPr>
      <w:pStyle w:val="4"/>
      <w:spacing w:before="120" w:beforeLines="50" w:line="240" w:lineRule="exact"/>
      <w:ind w:left="8280" w:hanging="8280" w:hangingChars="4600"/>
      <w:jc w:val="both"/>
      <w:rPr>
        <w:rFonts w:ascii="宋体"/>
      </w:rPr>
    </w:pPr>
    <w:r>
      <w:rPr>
        <w:rFonts w:hint="eastAsia" w:ascii="宋体"/>
        <w:kern w:val="0"/>
        <w:szCs w:val="24"/>
      </w:rPr>
      <w:t xml:space="preserve">地址：银川市永康北巷111号正大商务六楼                                     联系电话：（0951）6020565  </w:t>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6" w:space="3"/>
      </w:pBdr>
      <w:ind w:firstLine="2415" w:firstLineChars="1150"/>
      <w:jc w:val="both"/>
      <w:rPr>
        <w:rFonts w:ascii="宋体" w:hAnsi="宋体"/>
        <w:b/>
        <w:bCs/>
        <w:iCs/>
        <w:sz w:val="21"/>
        <w:szCs w:val="21"/>
      </w:rPr>
    </w:pPr>
    <w:r>
      <w:rPr>
        <w:rFonts w:ascii="宋体" w:hAnsi="宋体"/>
        <w:sz w:val="21"/>
        <w:szCs w:val="21"/>
      </w:rPr>
      <w:drawing>
        <wp:anchor distT="0" distB="0" distL="114300" distR="114300" simplePos="0" relativeHeight="251659264" behindDoc="1" locked="0" layoutInCell="1" allowOverlap="1">
          <wp:simplePos x="0" y="0"/>
          <wp:positionH relativeFrom="column">
            <wp:posOffset>-49530</wp:posOffset>
          </wp:positionH>
          <wp:positionV relativeFrom="paragraph">
            <wp:posOffset>9525</wp:posOffset>
          </wp:positionV>
          <wp:extent cx="427990" cy="328930"/>
          <wp:effectExtent l="0" t="0" r="10160" b="1397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
                  <a:stretch>
                    <a:fillRect/>
                  </a:stretch>
                </pic:blipFill>
                <pic:spPr>
                  <a:xfrm>
                    <a:off x="0" y="0"/>
                    <a:ext cx="427990" cy="328930"/>
                  </a:xfrm>
                  <a:prstGeom prst="rect">
                    <a:avLst/>
                  </a:prstGeom>
                  <a:noFill/>
                  <a:ln>
                    <a:noFill/>
                  </a:ln>
                </pic:spPr>
              </pic:pic>
            </a:graphicData>
          </a:graphic>
        </wp:anchor>
      </w:drawing>
    </w:r>
    <w:r>
      <w:rPr>
        <w:rFonts w:hint="eastAsia" w:ascii="宋体" w:hAnsi="宋体"/>
        <w:b/>
        <w:bCs/>
        <w:iCs/>
        <w:sz w:val="21"/>
        <w:szCs w:val="21"/>
      </w:rPr>
      <w:t>宁夏正达通房地产资产评估有限公司</w:t>
    </w:r>
  </w:p>
  <w:p>
    <w:pPr>
      <w:pStyle w:val="5"/>
      <w:pBdr>
        <w:bottom w:val="single" w:color="auto" w:sz="6" w:space="3"/>
      </w:pBdr>
      <w:jc w:val="both"/>
      <w:rPr>
        <w:rFonts w:hint="eastAsia" w:ascii="宋体" w:hAnsi="宋体"/>
        <w:b/>
        <w:bCs/>
        <w:iCs/>
        <w:sz w:val="28"/>
        <w:szCs w:val="28"/>
        <w:u w:val="single"/>
      </w:rPr>
    </w:pPr>
    <w:r>
      <w:rPr>
        <w:rFonts w:hint="eastAsia" w:ascii="宋体" w:hAnsi="宋体"/>
        <w:b/>
        <w:bCs/>
        <w:iCs/>
        <w:sz w:val="21"/>
        <w:szCs w:val="21"/>
      </w:rPr>
      <w:t xml:space="preserve">            </w:t>
    </w:r>
    <w:r>
      <w:rPr>
        <w:rFonts w:ascii="宋体" w:hAnsi="宋体"/>
        <w:b/>
        <w:bCs/>
        <w:iCs/>
        <w:sz w:val="21"/>
        <w:szCs w:val="21"/>
      </w:rPr>
      <w:t>Ningxia Zhengdatong Real Estate Assets Appraisal Co., Ltd</w:t>
    </w:r>
    <w:r>
      <w:rPr>
        <w:rFonts w:hint="eastAsia" w:ascii="宋体" w:hAnsi="宋体"/>
        <w:b/>
        <w:bCs/>
        <w:iCs/>
        <w:sz w:val="21"/>
        <w:szCs w:val="21"/>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6" w:space="3"/>
      </w:pBdr>
      <w:ind w:firstLine="2415" w:firstLineChars="1150"/>
      <w:jc w:val="both"/>
      <w:rPr>
        <w:rFonts w:ascii="宋体" w:hAnsi="宋体"/>
        <w:b/>
        <w:bCs/>
        <w:iCs/>
        <w:sz w:val="21"/>
        <w:szCs w:val="21"/>
      </w:rPr>
    </w:pPr>
    <w:r>
      <w:rPr>
        <w:rFonts w:ascii="宋体" w:hAnsi="宋体"/>
        <w:sz w:val="21"/>
        <w:szCs w:val="21"/>
      </w:rPr>
      <w:drawing>
        <wp:anchor distT="0" distB="0" distL="114300" distR="114300" simplePos="0" relativeHeight="251658240" behindDoc="1" locked="0" layoutInCell="1" allowOverlap="1">
          <wp:simplePos x="0" y="0"/>
          <wp:positionH relativeFrom="column">
            <wp:posOffset>-49530</wp:posOffset>
          </wp:positionH>
          <wp:positionV relativeFrom="paragraph">
            <wp:posOffset>9525</wp:posOffset>
          </wp:positionV>
          <wp:extent cx="427990" cy="328930"/>
          <wp:effectExtent l="0" t="0" r="10160" b="13970"/>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1"/>
                  <a:stretch>
                    <a:fillRect/>
                  </a:stretch>
                </pic:blipFill>
                <pic:spPr>
                  <a:xfrm>
                    <a:off x="0" y="0"/>
                    <a:ext cx="427990" cy="328930"/>
                  </a:xfrm>
                  <a:prstGeom prst="rect">
                    <a:avLst/>
                  </a:prstGeom>
                  <a:noFill/>
                  <a:ln>
                    <a:noFill/>
                  </a:ln>
                </pic:spPr>
              </pic:pic>
            </a:graphicData>
          </a:graphic>
        </wp:anchor>
      </w:drawing>
    </w:r>
    <w:r>
      <w:rPr>
        <w:rFonts w:hint="eastAsia" w:ascii="宋体" w:hAnsi="宋体"/>
        <w:b/>
        <w:bCs/>
        <w:iCs/>
        <w:sz w:val="21"/>
        <w:szCs w:val="21"/>
      </w:rPr>
      <w:t>宁夏正达通房地产资产评估有限公司</w:t>
    </w:r>
  </w:p>
  <w:p>
    <w:pPr>
      <w:pStyle w:val="5"/>
      <w:pBdr>
        <w:bottom w:val="single" w:color="auto" w:sz="6" w:space="3"/>
      </w:pBdr>
      <w:jc w:val="both"/>
      <w:rPr>
        <w:rFonts w:hint="eastAsia" w:ascii="宋体" w:hAnsi="宋体"/>
        <w:b/>
        <w:bCs/>
        <w:iCs/>
        <w:sz w:val="28"/>
        <w:szCs w:val="28"/>
        <w:u w:val="single"/>
      </w:rPr>
    </w:pPr>
    <w:r>
      <w:rPr>
        <w:rFonts w:hint="eastAsia" w:ascii="宋体" w:hAnsi="宋体"/>
        <w:b/>
        <w:bCs/>
        <w:iCs/>
        <w:sz w:val="21"/>
        <w:szCs w:val="21"/>
      </w:rPr>
      <w:t xml:space="preserve">            </w:t>
    </w:r>
    <w:r>
      <w:rPr>
        <w:rFonts w:ascii="宋体" w:hAnsi="宋体"/>
        <w:b/>
        <w:bCs/>
        <w:iCs/>
        <w:sz w:val="21"/>
        <w:szCs w:val="21"/>
      </w:rPr>
      <w:t>Ningxia Zhengdatong Real Estate Assets Appraisal Co., Ltd</w:t>
    </w:r>
    <w:r>
      <w:rPr>
        <w:rFonts w:hint="eastAsia" w:ascii="宋体" w:hAnsi="宋体"/>
        <w:b/>
        <w:bCs/>
        <w:iCs/>
        <w:sz w:val="21"/>
        <w:szCs w:val="21"/>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A5DC1A"/>
    <w:multiLevelType w:val="singleLevel"/>
    <w:tmpl w:val="57A5DC1A"/>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0972FAF"/>
    <w:rsid w:val="4E3726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0">
    <w:name w:val="Default Paragraph Font"/>
    <w:semiHidden/>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Body Text Indent 2"/>
    <w:basedOn w:val="1"/>
    <w:qFormat/>
    <w:uiPriority w:val="0"/>
    <w:pPr>
      <w:spacing w:line="560" w:lineRule="exact"/>
      <w:ind w:firstLine="538" w:firstLineChars="192"/>
    </w:pPr>
    <w:rPr>
      <w:rFonts w:ascii="宋体" w:hAnsi="宋体"/>
      <w:sz w:val="28"/>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6">
    <w:name w:val="toc 1"/>
    <w:basedOn w:val="1"/>
    <w:next w:val="1"/>
    <w:uiPriority w:val="39"/>
    <w:pPr>
      <w:tabs>
        <w:tab w:val="right" w:leader="dot" w:pos="8777"/>
      </w:tabs>
    </w:pPr>
    <w:rPr>
      <w:rFonts w:ascii="Calibri" w:hAnsi="Calibri"/>
      <w:color w:val="FF0000"/>
      <w:szCs w:val="22"/>
    </w:rPr>
  </w:style>
  <w:style w:type="paragraph" w:styleId="7">
    <w:name w:val="Body Text Indent 3"/>
    <w:basedOn w:val="1"/>
    <w:uiPriority w:val="0"/>
    <w:pPr>
      <w:spacing w:before="240" w:beforeLines="0" w:line="520" w:lineRule="exact"/>
      <w:ind w:firstLine="560" w:firstLineChars="200"/>
    </w:pPr>
    <w:rPr>
      <w:rFonts w:ascii="仿宋_GB2312" w:eastAsia="仿宋_GB2312"/>
      <w:sz w:val="28"/>
      <w:szCs w:val="28"/>
    </w:rPr>
  </w:style>
  <w:style w:type="paragraph" w:styleId="8">
    <w:name w:val="Title"/>
    <w:basedOn w:val="1"/>
    <w:next w:val="1"/>
    <w:qFormat/>
    <w:uiPriority w:val="0"/>
    <w:pPr>
      <w:spacing w:before="240" w:after="60"/>
      <w:jc w:val="center"/>
      <w:outlineLvl w:val="0"/>
    </w:pPr>
    <w:rPr>
      <w:rFonts w:ascii="Cambria" w:hAnsi="Cambria" w:cs="Times New Roman"/>
      <w:b/>
      <w:bCs/>
      <w:sz w:val="32"/>
      <w:szCs w:val="32"/>
    </w:rPr>
  </w:style>
  <w:style w:type="character" w:styleId="11">
    <w:name w:val="Hyperlink"/>
    <w:uiPriority w:val="99"/>
    <w:rPr>
      <w:rFonts w:hint="eastAsia" w:ascii="宋体" w:hAnsi="宋体" w:eastAsia="宋体"/>
      <w:color w:val="333333"/>
      <w:u w:val="none"/>
    </w:rPr>
  </w:style>
  <w:style w:type="paragraph" w:customStyle="1" w:styleId="12">
    <w:name w:val="_Style 3"/>
    <w:basedOn w:val="2"/>
    <w:next w:val="1"/>
    <w:unhideWhenUsed/>
    <w:qFormat/>
    <w:uiPriority w:val="39"/>
    <w:pPr>
      <w:widowControl/>
      <w:spacing w:before="480" w:after="0" w:line="276" w:lineRule="auto"/>
      <w:jc w:val="left"/>
      <w:outlineLvl w:val="9"/>
    </w:pPr>
    <w:rPr>
      <w:rFonts w:ascii="Cambria" w:hAnsi="Cambria" w:eastAsia="宋体" w:cs="Times New Roman"/>
      <w:color w:val="365F91"/>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2021-07-28T08:50:00Z</dcterms:created>
  <dc:creator>Administrator</dc:creator>
  <cp:lastModifiedBy>Administrator</cp:lastModifiedBy>
  <dcterms:modified xsi:type="dcterms:W3CDTF">2021-07-29T02:37:26Z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