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34" w:rsidRDefault="00BE2334" w:rsidP="00BE2334">
      <w:pPr>
        <w:numPr>
          <w:ilvl w:val="0"/>
          <w:numId w:val="1"/>
        </w:numPr>
        <w:tabs>
          <w:tab w:val="left" w:pos="1455"/>
        </w:tabs>
        <w:spacing w:line="440" w:lineRule="exact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估价对象范围</w:t>
      </w:r>
    </w:p>
    <w:p w:rsidR="00BE2334" w:rsidRDefault="00BE2334" w:rsidP="00BE2334">
      <w:pPr>
        <w:spacing w:line="44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估价对象为</w:t>
      </w:r>
      <w:r>
        <w:rPr>
          <w:rFonts w:ascii="宋体" w:hAnsi="宋体" w:cs="宋体" w:hint="eastAsia"/>
          <w:bCs/>
          <w:sz w:val="28"/>
          <w:szCs w:val="28"/>
        </w:rPr>
        <w:t>桓台县辽河路1577号博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观熙岸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5号楼1-102号、10号楼1-801号、14号楼1-601号、16号楼1-402号、16号楼1-1002号、16号楼2-802号、16号楼2-901号、4号楼114号不动产</w:t>
      </w:r>
      <w:r>
        <w:rPr>
          <w:rFonts w:ascii="宋体" w:eastAsia="宋体" w:hAnsi="宋体" w:cs="宋体" w:hint="eastAsia"/>
          <w:sz w:val="28"/>
          <w:szCs w:val="28"/>
          <w:lang w:bidi="ar"/>
        </w:rPr>
        <w:t>。</w:t>
      </w:r>
    </w:p>
    <w:p w:rsidR="00BE2334" w:rsidRDefault="00BE2334" w:rsidP="00BE2334">
      <w:pPr>
        <w:spacing w:line="470" w:lineRule="exact"/>
        <w:ind w:firstLineChars="200" w:firstLine="560"/>
        <w:rPr>
          <w:rFonts w:ascii="宋体" w:hAnsi="宋体" w:cs="宋体" w:hint="eastAsia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估价对象财产范围及基本状况如下表：</w:t>
      </w:r>
    </w:p>
    <w:tbl>
      <w:tblPr>
        <w:tblpPr w:leftFromText="180" w:rightFromText="180" w:vertAnchor="text" w:horzAnchor="page" w:tblpX="1820" w:tblpY="451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426"/>
        <w:gridCol w:w="2885"/>
        <w:gridCol w:w="1801"/>
        <w:gridCol w:w="2705"/>
      </w:tblGrid>
      <w:tr w:rsidR="00BE2334" w:rsidTr="00163C73">
        <w:trPr>
          <w:trHeight w:val="6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坐落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桓台县辽河路南侧与水厂西路交汇处</w:t>
            </w:r>
          </w:p>
        </w:tc>
      </w:tr>
      <w:tr w:rsidR="00BE2334" w:rsidTr="00163C73">
        <w:trPr>
          <w:trHeight w:val="4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 w:hint="eastAsia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名称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lang w:bidi="ar"/>
              </w:rPr>
              <w:t>观熙岸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bidi="ar"/>
              </w:rPr>
              <w:t>5号楼1-102号、10号楼1-801号、14号楼1-601号、16号楼1-402号、16号楼1-1002号、16号楼2-802号、16号楼2-901号、4号楼114号</w:t>
            </w:r>
          </w:p>
        </w:tc>
      </w:tr>
      <w:tr w:rsidR="00BE2334" w:rsidTr="00163C73">
        <w:trPr>
          <w:trHeight w:val="6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范围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包括房屋及分摊的土地使用权，室内装饰装修（不含室内可移动物品及债权债务等）</w:t>
            </w:r>
          </w:p>
        </w:tc>
      </w:tr>
      <w:tr w:rsidR="00BE2334" w:rsidTr="00163C73">
        <w:trPr>
          <w:trHeight w:val="5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规模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rPr>
                <w:rFonts w:ascii="宋体" w:eastAsia="宋体" w:hAnsi="宋体" w:cs="宋体"/>
                <w:spacing w:val="-6"/>
                <w:sz w:val="24"/>
              </w:rPr>
            </w:pPr>
            <w:r>
              <w:rPr>
                <w:rFonts w:ascii="宋体" w:hAnsi="宋体" w:cs="宋体" w:hint="eastAsia"/>
                <w:spacing w:val="-6"/>
                <w:sz w:val="24"/>
              </w:rPr>
              <w:t>总建筑面积1121.23㎡</w:t>
            </w:r>
          </w:p>
        </w:tc>
      </w:tr>
      <w:tr w:rsidR="00BE2334" w:rsidTr="00163C73">
        <w:trPr>
          <w:trHeight w:val="6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用途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商业服务/成套住宅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土地用途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城镇住宅用地</w:t>
            </w:r>
          </w:p>
        </w:tc>
      </w:tr>
      <w:tr w:rsidR="00BE2334" w:rsidTr="00163C73">
        <w:trPr>
          <w:trHeight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hAnsi="宋体" w:cs="宋体" w:hint="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权利人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lang w:bidi="ar"/>
              </w:rPr>
              <w:t>淄博盛创房地产</w:t>
            </w:r>
            <w:proofErr w:type="gramEnd"/>
            <w:r>
              <w:rPr>
                <w:rFonts w:ascii="宋体" w:eastAsia="宋体" w:hAnsi="宋体" w:cs="宋体" w:hint="eastAsia"/>
                <w:sz w:val="24"/>
                <w:lang w:bidi="ar"/>
              </w:rPr>
              <w:t>有限公司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 w:hint="eastAsia"/>
                <w:sz w:val="24"/>
                <w:highlight w:val="yellow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建筑结构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34" w:rsidRDefault="00BE2334" w:rsidP="00163C73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钢筋混凝土</w:t>
            </w:r>
          </w:p>
        </w:tc>
      </w:tr>
    </w:tbl>
    <w:p w:rsidR="00BE2334" w:rsidRDefault="00BE2334" w:rsidP="00BE2334">
      <w:pPr>
        <w:tabs>
          <w:tab w:val="left" w:pos="1455"/>
        </w:tabs>
        <w:spacing w:line="50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2、估价对象权益状况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根据估价委托方提供的《不动产权属产籍登记证明》和评估人员调查，估价对象博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观熙岸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5号楼1-102号、10号楼1-801号、14号楼1-601号、16号楼1-402号、16号楼1-1002号、16号楼2-802号、16号楼2-901号、4号楼114号不动产为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淄博盛创房地产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有限公司单独所有，土地用途为城镇住宅用地，4号楼114号不动产用途为商业服务，5号楼1-102号、10号楼1-801号、14号楼1-601号、16号楼1-402号、16号楼1-1002号、16号楼2-802号、16号楼2-901号不动产用途为成套住宅，权利性质为出让，房屋性质为市场化商品房，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土地使用权结束时间为2090年12月23日止，不动产权证号详见评估明细表</w:t>
      </w:r>
      <w:r>
        <w:rPr>
          <w:rFonts w:ascii="宋体" w:hAnsi="宋体" w:cs="宋体" w:hint="eastAsia"/>
          <w:sz w:val="28"/>
          <w:szCs w:val="28"/>
          <w:lang w:bidi="ar"/>
        </w:rPr>
        <w:t>。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由于本次估价目的为司法鉴定评估</w:t>
      </w:r>
      <w:r>
        <w:rPr>
          <w:rFonts w:ascii="宋体" w:hAnsi="宋体" w:cs="宋体" w:hint="eastAsia"/>
          <w:sz w:val="28"/>
          <w:szCs w:val="28"/>
          <w:lang w:bidi="ar"/>
        </w:rPr>
        <w:t>，故本次估价不考虑查封、租赁及其他优先受偿权对价值的影响，设定估价对象房屋权益明确，资料来源有依据，权属无异议。</w:t>
      </w:r>
    </w:p>
    <w:p w:rsidR="00BE2334" w:rsidRDefault="00BE2334" w:rsidP="00BE2334">
      <w:pPr>
        <w:tabs>
          <w:tab w:val="left" w:pos="1455"/>
        </w:tabs>
        <w:spacing w:line="50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3、估价对象实物状况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（1）土地实物状况描述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  <w:highlight w:val="yellow"/>
          <w:lang w:bidi="ar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估价对象所在宗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地位于桓台县辽河路南侧与水厂西路交汇处，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有效利用率较高，估价对象所在项目整体地势平坦，地质条件较好，土地承载力高，与相邻土地无明显高低落差，利于自然排水。宗地开发程度较高，基础设施达到通路、通电、通讯、通上水、通下水、通气、通暖。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（2）建筑物实物状况描述</w:t>
      </w:r>
    </w:p>
    <w:p w:rsidR="00876196" w:rsidRDefault="00BE2334" w:rsidP="00BE2334">
      <w:pPr>
        <w:tabs>
          <w:tab w:val="left" w:pos="1455"/>
        </w:tabs>
        <w:spacing w:line="50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估价对象</w:t>
      </w:r>
      <w:r>
        <w:rPr>
          <w:rFonts w:ascii="宋体" w:eastAsia="宋体" w:hAnsi="宋体" w:cs="宋体" w:hint="eastAsia"/>
          <w:kern w:val="0"/>
          <w:sz w:val="28"/>
          <w:szCs w:val="28"/>
        </w:rPr>
        <w:t>博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观熙岸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5号楼1-102号、10号楼1-801号、14号楼1-601号、16号楼1-402号、16号楼1-1002号、16号楼2-802号、16号楼2-901号</w:t>
      </w:r>
      <w:r>
        <w:rPr>
          <w:rFonts w:ascii="宋体" w:hAnsi="宋体" w:cs="宋体" w:hint="eastAsia"/>
          <w:bCs/>
          <w:sz w:val="28"/>
          <w:szCs w:val="28"/>
        </w:rPr>
        <w:t>房产均为小区内成套住宅，空间布局合理，水电管线预埋完整，燃气暖气管道已入户，室内未装修，为毛坯房，竣工于2023年6月，房屋维护状况好，成新率高，目前处于空置状态；4号楼114号为临街2层商铺，室内有步梯，空间布局较合理，供水供电设施齐全，无暖气片，无供气，能够满足日常经营使用，室内未装修，为毛坯房，铝合金门窗、水泥楼梯，房屋维护状况好，成新率高，目前处于空置状态。</w:t>
      </w:r>
    </w:p>
    <w:p w:rsidR="00BE2334" w:rsidRDefault="00BE2334" w:rsidP="00BE2334">
      <w:pPr>
        <w:numPr>
          <w:ilvl w:val="0"/>
          <w:numId w:val="2"/>
        </w:numPr>
        <w:spacing w:line="500" w:lineRule="exact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区位状况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交通便捷度：估价对象位于辽河路南侧与水厂西路交汇处，北邻辽河路，周边有600路、626路公交经过，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交通便利；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配套设施：估价对象位于桓台县西南部，周边住宅区比较少，缺少商场、超市、学校、医院等配套设施；</w:t>
      </w:r>
    </w:p>
    <w:p w:rsidR="00BE2334" w:rsidRDefault="00BE2334" w:rsidP="00BE2334">
      <w:pPr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景观环境：周边有红莲湖公园（西湖区），景观环境较好。</w:t>
      </w:r>
    </w:p>
    <w:p w:rsidR="00BE2334" w:rsidRPr="00BE2334" w:rsidRDefault="00BE2334" w:rsidP="00BE2334">
      <w:pPr>
        <w:tabs>
          <w:tab w:val="left" w:pos="1455"/>
        </w:tabs>
        <w:spacing w:line="500" w:lineRule="exact"/>
        <w:ind w:firstLineChars="200" w:firstLine="420"/>
      </w:pPr>
      <w:bookmarkStart w:id="0" w:name="_GoBack"/>
      <w:bookmarkEnd w:id="0"/>
    </w:p>
    <w:sectPr w:rsidR="00BE2334" w:rsidRPr="00BE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B2DDC"/>
    <w:multiLevelType w:val="singleLevel"/>
    <w:tmpl w:val="C9BB2DDC"/>
    <w:lvl w:ilvl="0">
      <w:start w:val="4"/>
      <w:numFmt w:val="decimal"/>
      <w:suff w:val="nothing"/>
      <w:lvlText w:val="%1、"/>
      <w:lvlJc w:val="left"/>
    </w:lvl>
  </w:abstractNum>
  <w:abstractNum w:abstractNumId="1">
    <w:nsid w:val="5CAC1708"/>
    <w:multiLevelType w:val="singleLevel"/>
    <w:tmpl w:val="5CAC1708"/>
    <w:lvl w:ilvl="0">
      <w:start w:val="1"/>
      <w:numFmt w:val="decimal"/>
      <w:suff w:val="nothing"/>
      <w:lvlText w:val="%1、"/>
      <w:lvlJc w:val="left"/>
      <w:pPr>
        <w:ind w:left="7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09"/>
    <w:rsid w:val="000F7218"/>
    <w:rsid w:val="002A6F09"/>
    <w:rsid w:val="00BE2334"/>
    <w:rsid w:val="00C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233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233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233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233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Company>P R 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2025-04-18T01:35:00Z</dcterms:created>
  <dcterms:modified xsi:type="dcterms:W3CDTF">2025-04-18T01:39:00Z</dcterms:modified>
</cp:coreProperties>
</file>