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Calibri" w:hAnsi="Calibri" w:eastAsia="宋体" w:cs="Calibri"/>
          <w:b/>
          <w:sz w:val="28"/>
          <w:szCs w:val="28"/>
          <w:highlight w:val="none"/>
        </w:rPr>
      </w:pPr>
      <w:r>
        <w:rPr>
          <w:rFonts w:ascii="Calibri" w:hAnsi="Calibri" w:eastAsia="宋体" w:cs="Calibri"/>
          <w:b/>
          <w:sz w:val="28"/>
          <w:szCs w:val="28"/>
          <w:highlight w:val="none"/>
        </w:rPr>
        <w:t>本报告依据中国资产评估准则编制</w:t>
      </w:r>
    </w:p>
    <w:p>
      <w:pPr>
        <w:spacing w:line="480" w:lineRule="exact"/>
        <w:rPr>
          <w:rFonts w:ascii="Calibri" w:hAnsi="Calibri" w:eastAsia="宋体" w:cs="Calibri"/>
          <w:b/>
          <w:sz w:val="28"/>
          <w:szCs w:val="28"/>
          <w:highlight w:val="none"/>
        </w:rPr>
      </w:pPr>
      <w:r>
        <w:rPr>
          <w:rFonts w:hint="eastAsia" w:ascii="Calibri" w:hAnsi="Calibri" w:eastAsia="宋体" w:cs="Calibri"/>
          <w:b/>
          <w:sz w:val="28"/>
          <w:szCs w:val="28"/>
          <w:highlight w:val="none"/>
        </w:rPr>
        <w:t>人民法院委托司法执行财产处置参考价目的资产评估报告</w:t>
      </w:r>
    </w:p>
    <w:p>
      <w:pPr>
        <w:rPr>
          <w:rFonts w:ascii="Calibri" w:hAnsi="Calibri" w:eastAsia="宋体" w:cs="Calibri"/>
          <w:b/>
          <w:bCs/>
          <w:sz w:val="28"/>
          <w:highlight w:val="none"/>
        </w:rPr>
      </w:pPr>
    </w:p>
    <w:p>
      <w:pPr>
        <w:pStyle w:val="2"/>
        <w:ind w:left="982" w:hanging="562"/>
        <w:rPr>
          <w:rFonts w:ascii="Calibri" w:hAnsi="Calibri" w:eastAsia="宋体" w:cs="Calibri"/>
          <w:b/>
          <w:bCs/>
          <w:sz w:val="28"/>
          <w:highlight w:val="none"/>
        </w:rPr>
      </w:pPr>
    </w:p>
    <w:p>
      <w:pPr>
        <w:tabs>
          <w:tab w:val="center" w:pos="4650"/>
          <w:tab w:val="left" w:pos="4700"/>
        </w:tabs>
        <w:spacing w:line="460" w:lineRule="exact"/>
        <w:jc w:val="center"/>
        <w:rPr>
          <w:rFonts w:ascii="宋体" w:hAnsi="宋体" w:eastAsia="宋体" w:cs="宋体"/>
          <w:b/>
          <w:sz w:val="40"/>
          <w:szCs w:val="40"/>
          <w:highlight w:val="none"/>
        </w:rPr>
      </w:pPr>
      <w:r>
        <w:rPr>
          <w:rFonts w:hint="eastAsia" w:ascii="宋体" w:hAnsi="宋体" w:eastAsia="宋体" w:cs="宋体"/>
          <w:b/>
          <w:sz w:val="40"/>
          <w:szCs w:val="40"/>
          <w:highlight w:val="none"/>
        </w:rPr>
        <w:t>桓台县人民法院</w:t>
      </w:r>
    </w:p>
    <w:p>
      <w:pPr>
        <w:tabs>
          <w:tab w:val="center" w:pos="4650"/>
          <w:tab w:val="left" w:pos="4700"/>
        </w:tabs>
        <w:spacing w:line="460" w:lineRule="exact"/>
        <w:jc w:val="center"/>
        <w:rPr>
          <w:rFonts w:ascii="宋体" w:hAnsi="宋体" w:eastAsia="宋体" w:cs="宋体"/>
          <w:b/>
          <w:sz w:val="40"/>
          <w:szCs w:val="40"/>
          <w:highlight w:val="none"/>
        </w:rPr>
      </w:pPr>
      <w:r>
        <w:rPr>
          <w:rFonts w:hint="eastAsia" w:ascii="宋体" w:hAnsi="宋体" w:eastAsia="宋体" w:cs="宋体"/>
          <w:b/>
          <w:sz w:val="40"/>
          <w:szCs w:val="40"/>
          <w:highlight w:val="none"/>
        </w:rPr>
        <w:t>拟财产处置涉及的部分资产价值</w:t>
      </w:r>
    </w:p>
    <w:p>
      <w:pPr>
        <w:tabs>
          <w:tab w:val="center" w:pos="4650"/>
          <w:tab w:val="left" w:pos="4700"/>
        </w:tabs>
        <w:spacing w:line="460" w:lineRule="exact"/>
        <w:jc w:val="center"/>
        <w:rPr>
          <w:rFonts w:ascii="宋体" w:hAnsi="宋体" w:eastAsia="宋体" w:cs="宋体"/>
          <w:b/>
          <w:sz w:val="40"/>
          <w:szCs w:val="40"/>
          <w:highlight w:val="none"/>
        </w:rPr>
      </w:pPr>
      <w:r>
        <w:rPr>
          <w:rFonts w:hint="eastAsia" w:ascii="宋体" w:hAnsi="宋体" w:eastAsia="宋体" w:cs="宋体"/>
          <w:b/>
          <w:sz w:val="40"/>
          <w:szCs w:val="40"/>
          <w:highlight w:val="none"/>
        </w:rPr>
        <w:t>资产评估报告</w:t>
      </w:r>
    </w:p>
    <w:p>
      <w:pPr>
        <w:spacing w:line="460" w:lineRule="exact"/>
        <w:jc w:val="center"/>
        <w:rPr>
          <w:rFonts w:ascii="宋体" w:hAnsi="宋体" w:eastAsia="宋体" w:cs="宋体"/>
          <w:b/>
          <w:sz w:val="28"/>
          <w:szCs w:val="28"/>
          <w:highlight w:val="none"/>
        </w:rPr>
      </w:pPr>
      <w:r>
        <w:rPr>
          <w:rFonts w:hint="eastAsia" w:ascii="宋体" w:hAnsi="宋体" w:eastAsia="宋体" w:cs="宋体"/>
          <w:b/>
          <w:sz w:val="28"/>
          <w:szCs w:val="28"/>
          <w:highlight w:val="none"/>
        </w:rPr>
        <w:t>国润资评报字〔2024〕第ZC001号</w:t>
      </w:r>
    </w:p>
    <w:p>
      <w:pPr>
        <w:widowControl/>
        <w:autoSpaceDE w:val="0"/>
        <w:autoSpaceDN w:val="0"/>
        <w:spacing w:line="460" w:lineRule="exact"/>
        <w:jc w:val="center"/>
        <w:textAlignment w:val="bottom"/>
        <w:rPr>
          <w:rFonts w:ascii="宋体" w:hAnsi="宋体" w:eastAsia="宋体" w:cs="宋体"/>
          <w:bCs/>
          <w:sz w:val="28"/>
          <w:szCs w:val="28"/>
          <w:highlight w:val="none"/>
        </w:rPr>
      </w:pPr>
      <w:r>
        <w:rPr>
          <w:rFonts w:hint="eastAsia" w:ascii="宋体" w:hAnsi="宋体" w:eastAsia="宋体" w:cs="宋体"/>
          <w:bCs/>
          <w:sz w:val="28"/>
          <w:szCs w:val="28"/>
          <w:highlight w:val="none"/>
        </w:rPr>
        <w:t>（共一册）</w:t>
      </w:r>
    </w:p>
    <w:p>
      <w:pPr>
        <w:spacing w:line="400" w:lineRule="exact"/>
        <w:rPr>
          <w:highlight w:val="none"/>
        </w:rPr>
      </w:pPr>
    </w:p>
    <w:p>
      <w:pPr>
        <w:pStyle w:val="2"/>
        <w:ind w:left="982" w:hanging="562"/>
        <w:rPr>
          <w:rFonts w:ascii="Calibri" w:hAnsi="Calibri" w:eastAsia="宋体" w:cs="Calibri"/>
          <w:b/>
          <w:bCs/>
          <w:sz w:val="28"/>
          <w:highlight w:val="none"/>
        </w:rPr>
      </w:pPr>
    </w:p>
    <w:p>
      <w:pPr>
        <w:rPr>
          <w:rFonts w:ascii="Calibri" w:hAnsi="Calibri" w:eastAsia="宋体" w:cs="Calibri"/>
          <w:b/>
          <w:bCs/>
          <w:sz w:val="28"/>
          <w:highlight w:val="none"/>
        </w:rPr>
      </w:pPr>
    </w:p>
    <w:p>
      <w:pPr>
        <w:rPr>
          <w:rFonts w:ascii="Calibri" w:hAnsi="Calibri" w:eastAsia="宋体" w:cs="Calibri"/>
          <w:b/>
          <w:bCs/>
          <w:sz w:val="28"/>
          <w:highlight w:val="none"/>
        </w:rPr>
      </w:pPr>
    </w:p>
    <w:p>
      <w:pPr>
        <w:rPr>
          <w:rFonts w:ascii="Calibri" w:hAnsi="Calibri" w:eastAsia="宋体" w:cs="Calibri"/>
          <w:sz w:val="32"/>
          <w:highlight w:val="none"/>
        </w:rPr>
      </w:pPr>
    </w:p>
    <w:p>
      <w:pPr>
        <w:rPr>
          <w:rFonts w:ascii="Calibri" w:hAnsi="Calibri" w:eastAsia="宋体" w:cs="Calibri"/>
          <w:sz w:val="32"/>
          <w:highlight w:val="none"/>
        </w:rPr>
      </w:pPr>
    </w:p>
    <w:p>
      <w:pPr>
        <w:rPr>
          <w:rFonts w:ascii="Calibri" w:hAnsi="Calibri" w:eastAsia="宋体" w:cs="Calibri"/>
          <w:sz w:val="32"/>
          <w:highlight w:val="none"/>
        </w:rPr>
      </w:pPr>
    </w:p>
    <w:p>
      <w:pPr>
        <w:rPr>
          <w:rFonts w:ascii="Calibri" w:hAnsi="Calibri" w:eastAsia="宋体" w:cs="Calibri"/>
          <w:sz w:val="32"/>
          <w:highlight w:val="none"/>
        </w:rPr>
      </w:pPr>
    </w:p>
    <w:p>
      <w:pPr>
        <w:rPr>
          <w:rFonts w:ascii="Calibri" w:hAnsi="Calibri" w:eastAsia="宋体" w:cs="Calibri"/>
          <w:sz w:val="32"/>
          <w:highlight w:val="none"/>
        </w:rPr>
      </w:pPr>
    </w:p>
    <w:p>
      <w:pPr>
        <w:rPr>
          <w:rFonts w:ascii="Calibri" w:hAnsi="Calibri" w:eastAsia="宋体" w:cs="Calibri"/>
          <w:sz w:val="32"/>
          <w:highlight w:val="none"/>
        </w:rPr>
      </w:pPr>
    </w:p>
    <w:p>
      <w:pPr>
        <w:pStyle w:val="6"/>
        <w:ind w:firstLine="0"/>
        <w:rPr>
          <w:rFonts w:ascii="Calibri" w:hAnsi="Calibri" w:eastAsia="宋体" w:cs="Calibri"/>
          <w:sz w:val="32"/>
          <w:highlight w:val="none"/>
        </w:rPr>
      </w:pPr>
    </w:p>
    <w:p>
      <w:pPr>
        <w:pStyle w:val="6"/>
        <w:rPr>
          <w:rFonts w:ascii="Calibri" w:hAnsi="Calibri" w:eastAsia="宋体" w:cs="Calibri"/>
          <w:sz w:val="32"/>
          <w:highlight w:val="none"/>
        </w:rPr>
      </w:pPr>
    </w:p>
    <w:p>
      <w:pPr>
        <w:spacing w:line="480" w:lineRule="auto"/>
        <w:jc w:val="center"/>
        <w:rPr>
          <w:rFonts w:ascii="Calibri" w:hAnsi="Calibri" w:eastAsia="宋体" w:cs="Calibri"/>
          <w:b/>
          <w:sz w:val="36"/>
          <w:szCs w:val="44"/>
          <w:highlight w:val="none"/>
        </w:rPr>
      </w:pPr>
      <w:r>
        <w:rPr>
          <w:rFonts w:hint="eastAsia" w:ascii="Calibri" w:hAnsi="Calibri" w:eastAsia="宋体" w:cs="Calibri"/>
          <w:b/>
          <w:sz w:val="36"/>
          <w:szCs w:val="44"/>
          <w:highlight w:val="none"/>
        </w:rPr>
        <w:t>山东国润恒丰土地房地产评估有限公司</w:t>
      </w:r>
    </w:p>
    <w:p>
      <w:pPr>
        <w:snapToGrid w:val="0"/>
        <w:spacing w:line="480" w:lineRule="auto"/>
        <w:jc w:val="center"/>
        <w:rPr>
          <w:rFonts w:hint="eastAsia" w:ascii="Calibri" w:hAnsi="Calibri" w:eastAsia="黑体" w:cs="Calibri"/>
          <w:b/>
          <w:spacing w:val="6"/>
          <w:sz w:val="30"/>
          <w:szCs w:val="30"/>
          <w:highlight w:val="none"/>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588" w:right="1286" w:bottom="1588" w:left="1701" w:header="851" w:footer="992" w:gutter="0"/>
          <w:pgNumType w:fmt="numberInDash" w:start="0"/>
          <w:cols w:space="425" w:num="1"/>
          <w:titlePg/>
          <w:docGrid w:type="lines" w:linePitch="326" w:charSpace="0"/>
        </w:sectPr>
      </w:pPr>
      <w:r>
        <w:rPr>
          <w:rFonts w:hint="eastAsia" w:ascii="Calibri" w:hAnsi="Calibri" w:eastAsia="黑体" w:cs="Calibri"/>
          <w:spacing w:val="6"/>
          <w:sz w:val="30"/>
          <w:szCs w:val="30"/>
          <w:highlight w:val="none"/>
          <w:lang w:eastAsia="zh-CN"/>
        </w:rPr>
        <w:t>二〇二四年一月九日</w:t>
      </w:r>
    </w:p>
    <w:p>
      <w:pPr>
        <w:snapToGrid w:val="0"/>
        <w:spacing w:line="300" w:lineRule="auto"/>
        <w:jc w:val="center"/>
        <w:rPr>
          <w:rFonts w:ascii="Calibri" w:hAnsi="Calibri" w:eastAsia="FangSong_GB2312" w:cs="Calibri"/>
          <w:b/>
          <w:spacing w:val="6"/>
          <w:sz w:val="24"/>
          <w:highlight w:val="none"/>
          <w:u w:val="single"/>
        </w:rPr>
      </w:pPr>
    </w:p>
    <w:p>
      <w:pPr>
        <w:snapToGrid w:val="0"/>
        <w:spacing w:line="360" w:lineRule="auto"/>
        <w:jc w:val="center"/>
        <w:rPr>
          <w:rFonts w:ascii="Calibri" w:hAnsi="Calibri" w:eastAsia="宋体" w:cs="Calibri"/>
          <w:spacing w:val="6"/>
          <w:highlight w:val="none"/>
        </w:rPr>
      </w:pPr>
      <w:r>
        <w:rPr>
          <w:rFonts w:ascii="Calibri" w:hAnsi="Calibri" w:cs="Calibri"/>
          <w:b/>
          <w:spacing w:val="6"/>
          <w:sz w:val="44"/>
          <w:highlight w:val="none"/>
        </w:rPr>
        <w:t>目</w:t>
      </w:r>
      <w:r>
        <w:rPr>
          <w:rFonts w:hint="eastAsia" w:ascii="Calibri" w:hAnsi="Calibri" w:cs="Calibri"/>
          <w:b/>
          <w:spacing w:val="6"/>
          <w:sz w:val="44"/>
          <w:highlight w:val="none"/>
        </w:rPr>
        <w:t xml:space="preserve"> </w:t>
      </w:r>
      <w:r>
        <w:rPr>
          <w:rFonts w:ascii="Calibri" w:hAnsi="Calibri" w:cs="Calibri"/>
          <w:b/>
          <w:spacing w:val="6"/>
          <w:sz w:val="44"/>
          <w:highlight w:val="none"/>
        </w:rPr>
        <w:t>录</w:t>
      </w:r>
    </w:p>
    <w:p>
      <w:pPr>
        <w:pStyle w:val="21"/>
        <w:tabs>
          <w:tab w:val="right" w:leader="dot" w:pos="8919"/>
          <w:tab w:val="clear" w:pos="8909"/>
        </w:tabs>
        <w:spacing w:line="560" w:lineRule="exact"/>
        <w:rPr>
          <w:rFonts w:ascii="宋体" w:hAnsi="宋体" w:eastAsia="宋体" w:cs="宋体"/>
          <w:sz w:val="28"/>
          <w:szCs w:val="28"/>
          <w:highlight w:val="none"/>
        </w:rPr>
      </w:pPr>
      <w:r>
        <w:rPr>
          <w:rFonts w:hint="eastAsia" w:ascii="宋体" w:hAnsi="宋体" w:eastAsia="宋体" w:cs="宋体"/>
          <w:color w:val="3333FF"/>
          <w:spacing w:val="6"/>
          <w:sz w:val="28"/>
          <w:szCs w:val="28"/>
          <w:highlight w:val="none"/>
        </w:rPr>
        <w:fldChar w:fldCharType="begin"/>
      </w:r>
      <w:r>
        <w:rPr>
          <w:rFonts w:hint="eastAsia" w:ascii="宋体" w:hAnsi="宋体" w:eastAsia="宋体" w:cs="宋体"/>
          <w:color w:val="3333FF"/>
          <w:spacing w:val="6"/>
          <w:sz w:val="28"/>
          <w:szCs w:val="28"/>
          <w:highlight w:val="none"/>
        </w:rPr>
        <w:instrText xml:space="preserve">TOC\o"1-3"\h\z\u</w:instrText>
      </w:r>
      <w:r>
        <w:rPr>
          <w:rFonts w:hint="eastAsia" w:ascii="宋体" w:hAnsi="宋体" w:eastAsia="宋体" w:cs="宋体"/>
          <w:color w:val="3333FF"/>
          <w:spacing w:val="6"/>
          <w:sz w:val="28"/>
          <w:szCs w:val="28"/>
          <w:highlight w:val="none"/>
        </w:rPr>
        <w:fldChar w:fldCharType="separate"/>
      </w:r>
      <w:r>
        <w:rPr>
          <w:highlight w:val="none"/>
        </w:rPr>
        <w:fldChar w:fldCharType="begin"/>
      </w:r>
      <w:r>
        <w:rPr>
          <w:highlight w:val="none"/>
        </w:rPr>
        <w:instrText xml:space="preserve"> HYPERLINK \l "_Toc27511" </w:instrText>
      </w:r>
      <w:r>
        <w:rPr>
          <w:highlight w:val="none"/>
        </w:rPr>
        <w:fldChar w:fldCharType="separate"/>
      </w:r>
      <w:r>
        <w:rPr>
          <w:rFonts w:hint="eastAsia" w:ascii="宋体" w:hAnsi="宋体" w:eastAsia="宋体" w:cs="宋体"/>
          <w:spacing w:val="6"/>
          <w:sz w:val="28"/>
          <w:szCs w:val="28"/>
          <w:highlight w:val="none"/>
        </w:rPr>
        <w:t>声 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_Toc27511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21"/>
        <w:tabs>
          <w:tab w:val="right" w:leader="dot" w:pos="8919"/>
          <w:tab w:val="clear" w:pos="8909"/>
        </w:tabs>
        <w:spacing w:line="560" w:lineRule="exact"/>
        <w:rPr>
          <w:rFonts w:ascii="宋体" w:hAnsi="宋体" w:eastAsia="宋体" w:cs="宋体"/>
          <w:sz w:val="28"/>
          <w:szCs w:val="28"/>
          <w:highlight w:val="none"/>
        </w:rPr>
      </w:pPr>
      <w:r>
        <w:rPr>
          <w:highlight w:val="none"/>
        </w:rPr>
        <w:fldChar w:fldCharType="begin"/>
      </w:r>
      <w:r>
        <w:rPr>
          <w:highlight w:val="none"/>
        </w:rPr>
        <w:instrText xml:space="preserve"> HYPERLINK \l "_Toc27965" </w:instrText>
      </w:r>
      <w:r>
        <w:rPr>
          <w:highlight w:val="none"/>
        </w:rPr>
        <w:fldChar w:fldCharType="separate"/>
      </w:r>
      <w:r>
        <w:rPr>
          <w:rFonts w:hint="eastAsia" w:ascii="宋体" w:hAnsi="宋体" w:eastAsia="宋体" w:cs="宋体"/>
          <w:sz w:val="28"/>
          <w:szCs w:val="28"/>
          <w:highlight w:val="none"/>
        </w:rPr>
        <w:t>摘 要</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_Toc27965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21"/>
        <w:tabs>
          <w:tab w:val="right" w:leader="dot" w:pos="8919"/>
          <w:tab w:val="clear" w:pos="8909"/>
        </w:tabs>
        <w:spacing w:line="560" w:lineRule="exact"/>
        <w:rPr>
          <w:rFonts w:ascii="宋体" w:hAnsi="宋体" w:eastAsia="宋体" w:cs="宋体"/>
          <w:sz w:val="28"/>
          <w:szCs w:val="28"/>
          <w:highlight w:val="none"/>
        </w:rPr>
      </w:pPr>
      <w:r>
        <w:rPr>
          <w:highlight w:val="none"/>
        </w:rPr>
        <w:fldChar w:fldCharType="begin"/>
      </w:r>
      <w:r>
        <w:rPr>
          <w:highlight w:val="none"/>
        </w:rPr>
        <w:instrText xml:space="preserve"> HYPERLINK \l "_Toc7798" </w:instrText>
      </w:r>
      <w:r>
        <w:rPr>
          <w:highlight w:val="none"/>
        </w:rPr>
        <w:fldChar w:fldCharType="separate"/>
      </w:r>
      <w:r>
        <w:rPr>
          <w:rFonts w:hint="eastAsia" w:ascii="宋体" w:hAnsi="宋体" w:eastAsia="宋体" w:cs="宋体"/>
          <w:sz w:val="28"/>
          <w:szCs w:val="28"/>
          <w:highlight w:val="none"/>
        </w:rPr>
        <w:t>正 文</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_Toc7798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"_Toc14617" </w:instrText>
      </w:r>
      <w:r>
        <w:rPr>
          <w:highlight w:val="none"/>
        </w:rPr>
        <w:fldChar w:fldCharType="separate"/>
      </w:r>
      <w:r>
        <w:rPr>
          <w:rFonts w:hint="eastAsia" w:ascii="宋体" w:hAnsi="宋体" w:eastAsia="宋体" w:cs="宋体"/>
          <w:spacing w:val="6"/>
          <w:sz w:val="24"/>
          <w:szCs w:val="24"/>
          <w:highlight w:val="none"/>
        </w:rPr>
        <w:t>一、 委托人、被评估单位和其他资产评估报告使用人概况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_Toc14617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"_Toc10362" </w:instrText>
      </w:r>
      <w:r>
        <w:rPr>
          <w:highlight w:val="none"/>
        </w:rPr>
        <w:fldChar w:fldCharType="separate"/>
      </w:r>
      <w:r>
        <w:rPr>
          <w:rFonts w:hint="eastAsia" w:ascii="宋体" w:hAnsi="宋体" w:eastAsia="宋体" w:cs="宋体"/>
          <w:spacing w:val="6"/>
          <w:sz w:val="24"/>
          <w:szCs w:val="24"/>
          <w:highlight w:val="none"/>
        </w:rPr>
        <w:t>二、 评估目的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_Toc10362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"_Toc32233" </w:instrText>
      </w:r>
      <w:r>
        <w:rPr>
          <w:highlight w:val="none"/>
        </w:rPr>
        <w:fldChar w:fldCharType="separate"/>
      </w:r>
      <w:r>
        <w:rPr>
          <w:rFonts w:hint="eastAsia" w:ascii="宋体" w:hAnsi="宋体" w:eastAsia="宋体" w:cs="宋体"/>
          <w:spacing w:val="6"/>
          <w:sz w:val="24"/>
          <w:szCs w:val="24"/>
          <w:highlight w:val="none"/>
        </w:rPr>
        <w:t>三、 评估对象和评估范围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_Toc32233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"_Toc11924" </w:instrText>
      </w:r>
      <w:r>
        <w:rPr>
          <w:highlight w:val="none"/>
        </w:rPr>
        <w:fldChar w:fldCharType="separate"/>
      </w:r>
      <w:r>
        <w:rPr>
          <w:rFonts w:hint="eastAsia" w:ascii="宋体" w:hAnsi="宋体" w:eastAsia="宋体" w:cs="宋体"/>
          <w:spacing w:val="6"/>
          <w:sz w:val="24"/>
          <w:szCs w:val="24"/>
          <w:highlight w:val="none"/>
        </w:rPr>
        <w:t>四、 价值类型及其定义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_Toc11924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"_Toc30367" </w:instrText>
      </w:r>
      <w:r>
        <w:rPr>
          <w:highlight w:val="none"/>
        </w:rPr>
        <w:fldChar w:fldCharType="separate"/>
      </w:r>
      <w:r>
        <w:rPr>
          <w:rFonts w:hint="eastAsia" w:ascii="宋体" w:hAnsi="宋体" w:eastAsia="宋体" w:cs="宋体"/>
          <w:spacing w:val="6"/>
          <w:sz w:val="24"/>
          <w:szCs w:val="24"/>
          <w:highlight w:val="none"/>
        </w:rPr>
        <w:t>五、 评估基准日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"_Toc2440" </w:instrText>
      </w:r>
      <w:r>
        <w:rPr>
          <w:highlight w:val="none"/>
        </w:rPr>
        <w:fldChar w:fldCharType="separate"/>
      </w:r>
      <w:r>
        <w:rPr>
          <w:rFonts w:hint="eastAsia" w:ascii="宋体" w:hAnsi="宋体" w:eastAsia="宋体" w:cs="宋体"/>
          <w:spacing w:val="6"/>
          <w:sz w:val="24"/>
          <w:szCs w:val="24"/>
          <w:highlight w:val="none"/>
        </w:rPr>
        <w:t>六、 评估依据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"_Toc25630" </w:instrText>
      </w:r>
      <w:r>
        <w:rPr>
          <w:highlight w:val="none"/>
        </w:rPr>
        <w:fldChar w:fldCharType="separate"/>
      </w:r>
      <w:r>
        <w:rPr>
          <w:rFonts w:hint="eastAsia" w:ascii="宋体" w:hAnsi="宋体" w:eastAsia="宋体" w:cs="宋体"/>
          <w:spacing w:val="6"/>
          <w:sz w:val="24"/>
          <w:szCs w:val="24"/>
          <w:highlight w:val="none"/>
        </w:rPr>
        <w:t>七、 评估方法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_Toc25630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"_Toc23833" </w:instrText>
      </w:r>
      <w:r>
        <w:rPr>
          <w:highlight w:val="none"/>
        </w:rPr>
        <w:fldChar w:fldCharType="separate"/>
      </w:r>
      <w:r>
        <w:rPr>
          <w:rFonts w:hint="eastAsia" w:ascii="宋体" w:hAnsi="宋体" w:eastAsia="宋体" w:cs="宋体"/>
          <w:spacing w:val="6"/>
          <w:sz w:val="24"/>
          <w:szCs w:val="24"/>
          <w:highlight w:val="none"/>
        </w:rPr>
        <w:t>八、 评估程序实施过程和情况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"_Toc20449" </w:instrText>
      </w:r>
      <w:r>
        <w:rPr>
          <w:highlight w:val="none"/>
        </w:rPr>
        <w:fldChar w:fldCharType="separate"/>
      </w:r>
      <w:r>
        <w:rPr>
          <w:rFonts w:hint="eastAsia" w:ascii="宋体" w:hAnsi="宋体" w:eastAsia="宋体" w:cs="宋体"/>
          <w:spacing w:val="6"/>
          <w:sz w:val="24"/>
          <w:szCs w:val="24"/>
          <w:highlight w:val="none"/>
        </w:rPr>
        <w:t>九、 评估假设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_Toc20449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"_Toc13967" </w:instrText>
      </w:r>
      <w:r>
        <w:rPr>
          <w:highlight w:val="none"/>
        </w:rPr>
        <w:fldChar w:fldCharType="separate"/>
      </w:r>
      <w:r>
        <w:rPr>
          <w:rFonts w:hint="eastAsia" w:ascii="宋体" w:hAnsi="宋体" w:eastAsia="宋体" w:cs="宋体"/>
          <w:spacing w:val="6"/>
          <w:sz w:val="24"/>
          <w:szCs w:val="24"/>
          <w:highlight w:val="none"/>
        </w:rPr>
        <w:t>十、 评估结论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_Toc13967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"_Toc31969" </w:instrText>
      </w:r>
      <w:r>
        <w:rPr>
          <w:highlight w:val="none"/>
        </w:rPr>
        <w:fldChar w:fldCharType="separate"/>
      </w:r>
      <w:r>
        <w:rPr>
          <w:rFonts w:hint="eastAsia" w:ascii="宋体" w:hAnsi="宋体" w:eastAsia="宋体" w:cs="宋体"/>
          <w:spacing w:val="6"/>
          <w:sz w:val="24"/>
          <w:szCs w:val="24"/>
          <w:highlight w:val="none"/>
        </w:rPr>
        <w:t>十一、 特别事项说明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_Toc31969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"_Toc21643" </w:instrText>
      </w:r>
      <w:r>
        <w:rPr>
          <w:highlight w:val="none"/>
        </w:rPr>
        <w:fldChar w:fldCharType="separate"/>
      </w:r>
      <w:r>
        <w:rPr>
          <w:rFonts w:hint="eastAsia" w:ascii="宋体" w:hAnsi="宋体" w:eastAsia="宋体" w:cs="宋体"/>
          <w:spacing w:val="6"/>
          <w:sz w:val="24"/>
          <w:szCs w:val="24"/>
          <w:highlight w:val="none"/>
        </w:rPr>
        <w:t>十二、 资产评估报告使用限制说明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_Toc21643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"_Toc16540" </w:instrText>
      </w:r>
      <w:r>
        <w:rPr>
          <w:highlight w:val="none"/>
        </w:rPr>
        <w:fldChar w:fldCharType="separate"/>
      </w:r>
      <w:r>
        <w:rPr>
          <w:rFonts w:hint="eastAsia" w:ascii="宋体" w:hAnsi="宋体" w:eastAsia="宋体" w:cs="宋体"/>
          <w:spacing w:val="6"/>
          <w:sz w:val="24"/>
          <w:szCs w:val="24"/>
          <w:highlight w:val="none"/>
        </w:rPr>
        <w:t>十三、 资产评估报告日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_Toc16540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19"/>
          <w:tab w:val="clear" w:pos="1260"/>
          <w:tab w:val="clear" w:pos="1470"/>
          <w:tab w:val="clear" w:pos="8909"/>
        </w:tabs>
        <w:spacing w:line="560" w:lineRule="exact"/>
        <w:rPr>
          <w:rFonts w:ascii="宋体" w:hAnsi="宋体" w:eastAsia="宋体" w:cs="宋体"/>
          <w:sz w:val="24"/>
          <w:szCs w:val="24"/>
          <w:highlight w:val="none"/>
        </w:rPr>
      </w:pPr>
      <w:r>
        <w:rPr>
          <w:highlight w:val="none"/>
        </w:rPr>
        <w:fldChar w:fldCharType="begin"/>
      </w:r>
      <w:r>
        <w:rPr>
          <w:highlight w:val="none"/>
        </w:rPr>
        <w:instrText xml:space="preserve"> HYPERLINK \l "_Toc2666" </w:instrText>
      </w:r>
      <w:r>
        <w:rPr>
          <w:highlight w:val="none"/>
        </w:rPr>
        <w:fldChar w:fldCharType="separate"/>
      </w:r>
      <w:r>
        <w:rPr>
          <w:rFonts w:hint="eastAsia" w:ascii="宋体" w:hAnsi="宋体" w:eastAsia="宋体" w:cs="宋体"/>
          <w:spacing w:val="6"/>
          <w:sz w:val="24"/>
          <w:szCs w:val="24"/>
          <w:highlight w:val="none"/>
        </w:rPr>
        <w:t>十四、 资产评估师签名盖章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1"/>
        <w:tabs>
          <w:tab w:val="right" w:leader="dot" w:pos="8919"/>
          <w:tab w:val="clear" w:pos="8909"/>
        </w:tabs>
        <w:spacing w:line="560" w:lineRule="exact"/>
        <w:rPr>
          <w:rFonts w:ascii="宋体" w:hAnsi="宋体" w:eastAsia="宋体" w:cs="宋体"/>
          <w:sz w:val="28"/>
          <w:szCs w:val="28"/>
          <w:highlight w:val="none"/>
        </w:rPr>
      </w:pPr>
      <w:r>
        <w:rPr>
          <w:highlight w:val="none"/>
        </w:rPr>
        <w:fldChar w:fldCharType="begin"/>
      </w:r>
      <w:r>
        <w:rPr>
          <w:highlight w:val="none"/>
        </w:rPr>
        <w:instrText xml:space="preserve"> HYPERLINK \l "_Toc3439" </w:instrText>
      </w:r>
      <w:r>
        <w:rPr>
          <w:highlight w:val="none"/>
        </w:rPr>
        <w:fldChar w:fldCharType="separate"/>
      </w:r>
      <w:r>
        <w:rPr>
          <w:rFonts w:hint="eastAsia" w:ascii="宋体" w:hAnsi="宋体" w:eastAsia="宋体" w:cs="宋体"/>
          <w:bCs/>
          <w:spacing w:val="6"/>
          <w:kern w:val="44"/>
          <w:sz w:val="28"/>
          <w:szCs w:val="28"/>
          <w:highlight w:val="none"/>
        </w:rPr>
        <w:t>附  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_Toc3439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snapToGrid w:val="0"/>
        <w:spacing w:line="560" w:lineRule="exact"/>
        <w:ind w:firstLine="425"/>
        <w:rPr>
          <w:rFonts w:ascii="Calibri" w:hAnsi="Calibri" w:cs="Calibri"/>
          <w:spacing w:val="6"/>
          <w:sz w:val="24"/>
          <w:szCs w:val="24"/>
          <w:highlight w:val="none"/>
        </w:rPr>
        <w:sectPr>
          <w:headerReference r:id="rId9" w:type="first"/>
          <w:footerReference r:id="rId11" w:type="first"/>
          <w:footerReference r:id="rId10" w:type="default"/>
          <w:pgSz w:w="11906" w:h="16838"/>
          <w:pgMar w:top="1588" w:right="1286" w:bottom="1588" w:left="1701" w:header="851" w:footer="992" w:gutter="0"/>
          <w:pgNumType w:fmt="numberInDash" w:start="1"/>
          <w:cols w:space="425" w:num="1"/>
          <w:titlePg/>
          <w:docGrid w:type="lines" w:linePitch="326" w:charSpace="0"/>
        </w:sectPr>
      </w:pPr>
      <w:r>
        <w:rPr>
          <w:rFonts w:hint="eastAsia" w:ascii="宋体" w:hAnsi="宋体" w:eastAsia="宋体" w:cs="宋体"/>
          <w:color w:val="3333FF"/>
          <w:spacing w:val="6"/>
          <w:sz w:val="28"/>
          <w:szCs w:val="28"/>
          <w:highlight w:val="none"/>
        </w:rPr>
        <w:fldChar w:fldCharType="end"/>
      </w:r>
    </w:p>
    <w:p>
      <w:pPr>
        <w:ind w:firstLine="425"/>
        <w:jc w:val="center"/>
        <w:rPr>
          <w:rFonts w:ascii="Calibri" w:hAnsi="Calibri" w:eastAsia="FangSong_GB2312" w:cs="Calibri"/>
          <w:spacing w:val="6"/>
          <w:sz w:val="24"/>
          <w:szCs w:val="24"/>
          <w:highlight w:val="none"/>
        </w:rPr>
      </w:pPr>
    </w:p>
    <w:p>
      <w:pPr>
        <w:pStyle w:val="3"/>
        <w:snapToGrid w:val="0"/>
        <w:spacing w:before="200" w:after="0" w:line="300" w:lineRule="auto"/>
        <w:jc w:val="center"/>
        <w:rPr>
          <w:rFonts w:ascii="宋体" w:hAnsi="宋体" w:eastAsia="宋体" w:cs="宋体"/>
          <w:spacing w:val="6"/>
          <w:sz w:val="36"/>
          <w:szCs w:val="36"/>
          <w:highlight w:val="none"/>
        </w:rPr>
        <w:sectPr>
          <w:headerReference r:id="rId13" w:type="first"/>
          <w:headerReference r:id="rId12" w:type="default"/>
          <w:type w:val="continuous"/>
          <w:pgSz w:w="11906" w:h="16838"/>
          <w:pgMar w:top="1588" w:right="1502" w:bottom="771" w:left="1701" w:header="851" w:footer="737" w:gutter="0"/>
          <w:pgNumType w:fmt="numberInDash"/>
          <w:cols w:space="425" w:num="1"/>
          <w:titlePg/>
          <w:docGrid w:type="lines" w:linePitch="326" w:charSpace="0"/>
        </w:sectPr>
      </w:pPr>
      <w:bookmarkStart w:id="0" w:name="_Toc27511"/>
      <w:bookmarkStart w:id="1" w:name="_Toc208314662"/>
    </w:p>
    <w:p>
      <w:pPr>
        <w:pStyle w:val="3"/>
        <w:snapToGrid w:val="0"/>
        <w:spacing w:before="200" w:after="0" w:line="300" w:lineRule="auto"/>
        <w:jc w:val="center"/>
        <w:rPr>
          <w:rFonts w:ascii="宋体" w:hAnsi="宋体" w:eastAsia="宋体" w:cs="宋体"/>
          <w:spacing w:val="6"/>
          <w:sz w:val="36"/>
          <w:szCs w:val="36"/>
          <w:highlight w:val="none"/>
        </w:rPr>
      </w:pPr>
      <w:r>
        <w:rPr>
          <w:rFonts w:hint="eastAsia" w:ascii="宋体" w:hAnsi="宋体" w:eastAsia="宋体" w:cs="宋体"/>
          <w:spacing w:val="6"/>
          <w:sz w:val="36"/>
          <w:szCs w:val="36"/>
          <w:highlight w:val="none"/>
        </w:rPr>
        <w:t>声 明</w:t>
      </w:r>
      <w:bookmarkEnd w:id="0"/>
      <w:bookmarkEnd w:id="1"/>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本资产评估报告依据财政部发布的资产评估基本准则和中国资产评估协会发布的资产评估执业准则和职业道德准则编制。</w:t>
      </w:r>
    </w:p>
    <w:p>
      <w:pPr>
        <w:numPr>
          <w:ilvl w:val="0"/>
          <w:numId w:val="1"/>
        </w:numPr>
        <w:tabs>
          <w:tab w:val="left" w:pos="993"/>
        </w:tabs>
        <w:adjustRightInd w:val="0"/>
        <w:snapToGrid w:val="0"/>
        <w:spacing w:line="440" w:lineRule="exact"/>
        <w:ind w:left="0" w:firstLine="505"/>
        <w:rPr>
          <w:rFonts w:ascii="Calibri" w:hAnsi="Calibri" w:cs="Calibri"/>
          <w:b/>
          <w:spacing w:val="6"/>
          <w:sz w:val="24"/>
          <w:szCs w:val="24"/>
          <w:highlight w:val="none"/>
        </w:rPr>
      </w:pPr>
      <w:r>
        <w:rPr>
          <w:rFonts w:hint="eastAsia" w:ascii="Calibri" w:hAnsi="Calibri" w:cs="Calibri"/>
          <w:b/>
          <w:spacing w:val="6"/>
          <w:sz w:val="24"/>
          <w:szCs w:val="24"/>
          <w:highlight w:val="none"/>
        </w:rPr>
        <w:t>本资产评估报告是根据人民法院及相关当事人提供的资料和信息出具，资料和信息的真实性、完整性、合法性对评估结论构成影响，依据同一标的资产的其他资料或者信息可能得出与本报告不一致的评估结论。</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委托人或者其他资产评估报告使用人应当按照法律、行政法规规定和本资产评估报告载明的使用范围使用资产评估报告；委托人或者其他资产评估报告使用人违反前述规定使用资产评估报告的，本资产评估机构及资产评估师不承担责任。</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资产评估报告仅供委托人、资产评估委托合同中约定的其他资产评估报告使用人和法律、行政法规规定的资产评估报告使用人使用；除此之外，其他任何机构和个人不能成为资产评估报告的使用人。</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本资产评估机构及资产评估师提示资产评估报告使用人应当正确理解评估结论，评估结论不等同于评估对象可实现价格，评估结论不应当被认为是对评估对象可实现价格的保证。</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资产评估机构及资产评估师遵守法律、行政法规和资产评估准则，坚持独立、客观和公正的原则，并对所出具的资产评估报告依法承担责任。</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本资产评估机构及资产评估师与资产评估报告中的评估对象没有现存或者预期的利益关系；与相关当事人没有现存或者预期的利益关系，对相关当事人不存在偏见。</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资产评估师已经对资产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numPr>
          <w:ilvl w:val="0"/>
          <w:numId w:val="1"/>
        </w:numPr>
        <w:tabs>
          <w:tab w:val="left" w:pos="993"/>
        </w:tabs>
        <w:adjustRightInd w:val="0"/>
        <w:snapToGrid w:val="0"/>
        <w:spacing w:line="440" w:lineRule="exact"/>
        <w:ind w:left="0" w:firstLine="505"/>
        <w:rPr>
          <w:rFonts w:ascii="Calibri" w:hAnsi="Calibri" w:cs="Calibri"/>
          <w:spacing w:val="6"/>
          <w:sz w:val="24"/>
          <w:szCs w:val="24"/>
          <w:highlight w:val="none"/>
        </w:rPr>
      </w:pPr>
      <w:r>
        <w:rPr>
          <w:rFonts w:ascii="Calibri" w:hAnsi="Calibri" w:cs="Calibri"/>
          <w:spacing w:val="6"/>
          <w:sz w:val="24"/>
          <w:szCs w:val="24"/>
          <w:highlight w:val="none"/>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pPr>
        <w:tabs>
          <w:tab w:val="left" w:pos="993"/>
        </w:tabs>
        <w:adjustRightInd w:val="0"/>
        <w:snapToGrid w:val="0"/>
        <w:spacing w:line="360" w:lineRule="auto"/>
        <w:ind w:left="504"/>
        <w:rPr>
          <w:rFonts w:ascii="Calibri" w:hAnsi="Calibri" w:cs="Calibri"/>
          <w:highlight w:val="none"/>
        </w:rPr>
      </w:pPr>
    </w:p>
    <w:p>
      <w:pPr>
        <w:snapToGrid w:val="0"/>
        <w:spacing w:line="360" w:lineRule="exact"/>
        <w:rPr>
          <w:rFonts w:ascii="Calibri" w:hAnsi="Calibri" w:eastAsia="FangSong_GB2312" w:cs="Calibri"/>
          <w:b/>
          <w:spacing w:val="6"/>
          <w:sz w:val="24"/>
          <w:highlight w:val="none"/>
        </w:rPr>
        <w:sectPr>
          <w:footerReference r:id="rId15" w:type="first"/>
          <w:footerReference r:id="rId14" w:type="default"/>
          <w:pgSz w:w="11906" w:h="16838"/>
          <w:pgMar w:top="1588" w:right="1502" w:bottom="771" w:left="1701" w:header="851" w:footer="737" w:gutter="0"/>
          <w:pgNumType w:start="1"/>
          <w:cols w:space="425" w:num="1"/>
          <w:titlePg/>
          <w:docGrid w:type="lines" w:linePitch="326" w:charSpace="0"/>
        </w:sectPr>
      </w:pPr>
    </w:p>
    <w:p>
      <w:pPr>
        <w:tabs>
          <w:tab w:val="center" w:pos="4650"/>
          <w:tab w:val="left" w:pos="4700"/>
        </w:tabs>
        <w:adjustRightInd w:val="0"/>
        <w:jc w:val="center"/>
        <w:textAlignment w:val="baseline"/>
        <w:rPr>
          <w:rFonts w:ascii="宋体" w:hAnsi="宋体" w:eastAsia="宋体" w:cs="宋体"/>
          <w:b/>
          <w:sz w:val="36"/>
          <w:szCs w:val="36"/>
          <w:highlight w:val="none"/>
        </w:rPr>
      </w:pPr>
      <w:bookmarkStart w:id="2" w:name="_Toc21554_WPSOffice_Level1"/>
      <w:bookmarkStart w:id="3" w:name="_Toc145298840"/>
      <w:bookmarkStart w:id="4" w:name="_Toc454952761"/>
      <w:r>
        <w:rPr>
          <w:rFonts w:hint="eastAsia" w:ascii="宋体" w:hAnsi="宋体" w:eastAsia="宋体" w:cs="宋体"/>
          <w:b/>
          <w:sz w:val="36"/>
          <w:szCs w:val="36"/>
          <w:highlight w:val="none"/>
        </w:rPr>
        <w:t>桓台县人民法院</w:t>
      </w:r>
    </w:p>
    <w:p>
      <w:pPr>
        <w:tabs>
          <w:tab w:val="center" w:pos="4650"/>
          <w:tab w:val="left" w:pos="4700"/>
        </w:tabs>
        <w:adjustRightInd w:val="0"/>
        <w:jc w:val="center"/>
        <w:textAlignment w:val="baseline"/>
        <w:rPr>
          <w:rFonts w:ascii="宋体" w:hAnsi="宋体" w:eastAsia="宋体" w:cs="宋体"/>
          <w:b/>
          <w:sz w:val="36"/>
          <w:szCs w:val="36"/>
          <w:highlight w:val="none"/>
        </w:rPr>
      </w:pPr>
      <w:r>
        <w:rPr>
          <w:rFonts w:hint="eastAsia" w:ascii="宋体" w:hAnsi="宋体" w:eastAsia="宋体" w:cs="宋体"/>
          <w:b/>
          <w:sz w:val="36"/>
          <w:szCs w:val="36"/>
          <w:highlight w:val="none"/>
        </w:rPr>
        <w:t>拟财产处置涉及的部分资产价值评估报告</w:t>
      </w:r>
      <w:bookmarkEnd w:id="2"/>
    </w:p>
    <w:p>
      <w:pPr>
        <w:pStyle w:val="3"/>
        <w:adjustRightInd w:val="0"/>
        <w:spacing w:before="0" w:after="0" w:line="240" w:lineRule="auto"/>
        <w:jc w:val="center"/>
        <w:textAlignment w:val="baseline"/>
        <w:rPr>
          <w:rFonts w:ascii="宋体" w:hAnsi="宋体" w:eastAsia="宋体" w:cs="宋体"/>
          <w:bCs w:val="0"/>
          <w:sz w:val="36"/>
          <w:szCs w:val="36"/>
          <w:highlight w:val="none"/>
        </w:rPr>
      </w:pPr>
      <w:bookmarkStart w:id="5" w:name="_Toc20536"/>
      <w:bookmarkStart w:id="6" w:name="_Toc27965"/>
      <w:bookmarkStart w:id="7" w:name="_Toc9498487"/>
      <w:r>
        <w:rPr>
          <w:rFonts w:hint="eastAsia" w:ascii="宋体" w:hAnsi="宋体" w:eastAsia="宋体" w:cs="宋体"/>
          <w:bCs w:val="0"/>
          <w:sz w:val="36"/>
          <w:szCs w:val="36"/>
          <w:highlight w:val="none"/>
        </w:rPr>
        <w:t>摘 要</w:t>
      </w:r>
      <w:bookmarkEnd w:id="3"/>
      <w:bookmarkEnd w:id="4"/>
      <w:bookmarkEnd w:id="5"/>
      <w:bookmarkEnd w:id="6"/>
      <w:bookmarkEnd w:id="7"/>
    </w:p>
    <w:p>
      <w:pPr>
        <w:adjustRightInd w:val="0"/>
        <w:spacing w:line="360" w:lineRule="auto"/>
        <w:jc w:val="center"/>
        <w:textAlignment w:val="baseline"/>
        <w:rPr>
          <w:rFonts w:ascii="宋体" w:hAnsi="宋体" w:eastAsia="宋体" w:cs="宋体"/>
          <w:b/>
          <w:sz w:val="24"/>
          <w:szCs w:val="32"/>
          <w:highlight w:val="none"/>
        </w:rPr>
      </w:pPr>
      <w:r>
        <w:rPr>
          <w:rFonts w:hint="eastAsia" w:ascii="宋体" w:hAnsi="宋体" w:eastAsia="宋体" w:cs="宋体"/>
          <w:b/>
          <w:sz w:val="24"/>
          <w:szCs w:val="32"/>
          <w:highlight w:val="none"/>
        </w:rPr>
        <w:t>国润资评报字〔2024〕第ZC001号</w:t>
      </w:r>
    </w:p>
    <w:p>
      <w:pPr>
        <w:pStyle w:val="6"/>
        <w:spacing w:line="440" w:lineRule="exact"/>
        <w:ind w:firstLine="504" w:firstLineChars="200"/>
        <w:rPr>
          <w:rFonts w:ascii="宋体" w:hAnsi="宋体" w:eastAsia="宋体" w:cs="宋体"/>
          <w:spacing w:val="6"/>
          <w:kern w:val="2"/>
          <w:szCs w:val="24"/>
          <w:highlight w:val="none"/>
        </w:rPr>
      </w:pPr>
      <w:r>
        <w:rPr>
          <w:rFonts w:hint="eastAsia" w:ascii="宋体" w:hAnsi="宋体" w:eastAsia="宋体" w:cs="宋体"/>
          <w:spacing w:val="6"/>
          <w:kern w:val="2"/>
          <w:szCs w:val="24"/>
          <w:highlight w:val="none"/>
        </w:rPr>
        <w:t>山东国润恒丰土地房地产评估有限公司接受桓台县人民法院的委托，以其拟资产处置为评估目的，对桓台县人民法院拟资产处置项目涉及的部分资产进行评估，评估对象为桓台县人民法院委估的部分资产价值，评估范围为部分资产—车牌号为鲁</w:t>
      </w:r>
      <w:r>
        <w:rPr>
          <w:rFonts w:hint="eastAsia" w:ascii="宋体" w:hAnsi="宋体" w:eastAsia="宋体" w:cs="宋体"/>
          <w:spacing w:val="6"/>
          <w:kern w:val="2"/>
          <w:szCs w:val="24"/>
          <w:highlight w:val="none"/>
          <w:lang w:eastAsia="zh-CN"/>
        </w:rPr>
        <w:t>B96B0Y</w:t>
      </w:r>
      <w:r>
        <w:rPr>
          <w:rFonts w:hint="eastAsia" w:ascii="宋体" w:hAnsi="宋体" w:eastAsia="宋体" w:cs="宋体"/>
          <w:spacing w:val="6"/>
          <w:kern w:val="2"/>
          <w:szCs w:val="24"/>
          <w:highlight w:val="none"/>
        </w:rPr>
        <w:t>的雷克萨斯小型轿车一辆，评估基准日为</w:t>
      </w:r>
      <w:r>
        <w:rPr>
          <w:rFonts w:hint="eastAsia" w:ascii="宋体" w:hAnsi="宋体" w:eastAsia="宋体" w:cs="宋体"/>
          <w:spacing w:val="6"/>
          <w:kern w:val="2"/>
          <w:szCs w:val="24"/>
          <w:highlight w:val="none"/>
          <w:lang w:eastAsia="zh-CN"/>
        </w:rPr>
        <w:t>2023年12月26日</w:t>
      </w:r>
      <w:r>
        <w:rPr>
          <w:rFonts w:hint="eastAsia" w:ascii="宋体" w:hAnsi="宋体" w:eastAsia="宋体" w:cs="宋体"/>
          <w:spacing w:val="6"/>
          <w:kern w:val="2"/>
          <w:szCs w:val="24"/>
          <w:highlight w:val="none"/>
        </w:rPr>
        <w:t>，本次评估的价值类型为市场价值。本项目采用</w:t>
      </w:r>
      <w:bookmarkStart w:id="8" w:name="OLE_LINK1"/>
      <w:r>
        <w:rPr>
          <w:rFonts w:hint="eastAsia" w:ascii="宋体" w:hAnsi="宋体" w:eastAsia="宋体" w:cs="宋体"/>
          <w:spacing w:val="6"/>
          <w:kern w:val="2"/>
          <w:szCs w:val="24"/>
          <w:highlight w:val="none"/>
        </w:rPr>
        <w:t>市场法进行评估。</w:t>
      </w:r>
    </w:p>
    <w:bookmarkEnd w:id="8"/>
    <w:p>
      <w:pPr>
        <w:pStyle w:val="6"/>
        <w:spacing w:line="440" w:lineRule="exact"/>
        <w:ind w:firstLine="506" w:firstLineChars="200"/>
        <w:rPr>
          <w:rFonts w:ascii="宋体" w:hAnsi="宋体" w:eastAsia="宋体" w:cs="宋体"/>
          <w:b/>
          <w:bCs/>
          <w:spacing w:val="6"/>
          <w:kern w:val="2"/>
          <w:szCs w:val="24"/>
          <w:highlight w:val="none"/>
        </w:rPr>
      </w:pPr>
      <w:r>
        <w:rPr>
          <w:rFonts w:hint="eastAsia" w:ascii="宋体" w:hAnsi="宋体" w:eastAsia="宋体" w:cs="宋体"/>
          <w:b/>
          <w:bCs/>
          <w:spacing w:val="6"/>
          <w:kern w:val="2"/>
          <w:szCs w:val="24"/>
          <w:highlight w:val="none"/>
        </w:rPr>
        <w:t>经评估，在评估基准日</w:t>
      </w:r>
      <w:r>
        <w:rPr>
          <w:rFonts w:hint="eastAsia" w:ascii="宋体" w:hAnsi="宋体" w:eastAsia="宋体" w:cs="宋体"/>
          <w:b/>
          <w:bCs/>
          <w:spacing w:val="6"/>
          <w:kern w:val="2"/>
          <w:szCs w:val="24"/>
          <w:highlight w:val="none"/>
          <w:lang w:eastAsia="zh-CN"/>
        </w:rPr>
        <w:t>2023年12月26日</w:t>
      </w:r>
      <w:r>
        <w:rPr>
          <w:rFonts w:hint="eastAsia" w:ascii="宋体" w:hAnsi="宋体" w:eastAsia="宋体" w:cs="宋体"/>
          <w:b/>
          <w:bCs/>
          <w:spacing w:val="6"/>
          <w:kern w:val="2"/>
          <w:szCs w:val="24"/>
          <w:highlight w:val="none"/>
        </w:rPr>
        <w:t>，桓台县人民法院拟资产处置涉及的车牌号为鲁</w:t>
      </w:r>
      <w:r>
        <w:rPr>
          <w:rFonts w:hint="eastAsia" w:ascii="宋体" w:hAnsi="宋体" w:eastAsia="宋体" w:cs="宋体"/>
          <w:b/>
          <w:bCs/>
          <w:spacing w:val="6"/>
          <w:kern w:val="2"/>
          <w:szCs w:val="24"/>
          <w:highlight w:val="none"/>
          <w:lang w:eastAsia="zh-CN"/>
        </w:rPr>
        <w:t>B96B0Y</w:t>
      </w:r>
      <w:r>
        <w:rPr>
          <w:rFonts w:hint="eastAsia" w:ascii="宋体" w:hAnsi="宋体" w:eastAsia="宋体" w:cs="宋体"/>
          <w:b/>
          <w:bCs/>
          <w:spacing w:val="6"/>
          <w:kern w:val="2"/>
          <w:szCs w:val="24"/>
          <w:highlight w:val="none"/>
        </w:rPr>
        <w:t xml:space="preserve">的雷克萨斯小型轿车评估值¥ </w:t>
      </w:r>
      <w:r>
        <w:rPr>
          <w:rFonts w:hint="eastAsia" w:ascii="宋体" w:hAnsi="宋体" w:eastAsia="宋体" w:cs="宋体"/>
          <w:b/>
          <w:bCs/>
          <w:spacing w:val="6"/>
          <w:kern w:val="2"/>
          <w:szCs w:val="24"/>
          <w:highlight w:val="none"/>
          <w:lang w:eastAsia="zh-CN"/>
        </w:rPr>
        <w:t>184,300.00</w:t>
      </w:r>
      <w:r>
        <w:rPr>
          <w:rFonts w:hint="eastAsia" w:ascii="宋体" w:hAnsi="宋体" w:eastAsia="宋体" w:cs="宋体"/>
          <w:b/>
          <w:bCs/>
          <w:spacing w:val="6"/>
          <w:kern w:val="2"/>
          <w:szCs w:val="24"/>
          <w:highlight w:val="none"/>
        </w:rPr>
        <w:t>元，大写金额：人民币</w:t>
      </w:r>
      <w:r>
        <w:rPr>
          <w:rFonts w:hint="eastAsia" w:ascii="宋体" w:hAnsi="宋体" w:eastAsia="宋体" w:cs="宋体"/>
          <w:b/>
          <w:bCs/>
          <w:spacing w:val="6"/>
          <w:kern w:val="2"/>
          <w:szCs w:val="24"/>
          <w:highlight w:val="none"/>
          <w:lang w:eastAsia="zh-CN"/>
        </w:rPr>
        <w:t>壹拾捌万肆仟叁佰元整</w:t>
      </w:r>
      <w:r>
        <w:rPr>
          <w:rFonts w:hint="eastAsia" w:ascii="宋体" w:hAnsi="宋体" w:eastAsia="宋体" w:cs="宋体"/>
          <w:b/>
          <w:bCs/>
          <w:spacing w:val="6"/>
          <w:kern w:val="2"/>
          <w:szCs w:val="24"/>
          <w:highlight w:val="none"/>
        </w:rPr>
        <w:t>。具体如下表：</w:t>
      </w:r>
    </w:p>
    <w:p>
      <w:pPr>
        <w:spacing w:beforeLines="50"/>
        <w:ind w:left="3124"/>
        <w:rPr>
          <w:rFonts w:ascii="宋体" w:hAnsi="宋体" w:eastAsia="宋体" w:cs="宋体"/>
          <w:sz w:val="24"/>
          <w:szCs w:val="24"/>
          <w:highlight w:val="none"/>
        </w:rPr>
      </w:pPr>
      <w:r>
        <w:rPr>
          <w:rFonts w:hint="eastAsia" w:ascii="宋体" w:hAnsi="宋体" w:eastAsia="宋体" w:cs="宋体"/>
          <w:spacing w:val="-4"/>
          <w:sz w:val="24"/>
          <w:szCs w:val="24"/>
          <w:highlight w:val="none"/>
        </w:rPr>
        <w:t>资</w:t>
      </w:r>
      <w:r>
        <w:rPr>
          <w:rFonts w:hint="eastAsia" w:ascii="宋体" w:hAnsi="宋体" w:eastAsia="宋体" w:cs="宋体"/>
          <w:spacing w:val="-2"/>
          <w:sz w:val="24"/>
          <w:szCs w:val="24"/>
          <w:highlight w:val="none"/>
        </w:rPr>
        <w:t>产评估结果汇总表</w:t>
      </w:r>
    </w:p>
    <w:p>
      <w:pPr>
        <w:spacing w:before="68" w:line="212" w:lineRule="auto"/>
        <w:jc w:val="center"/>
        <w:rPr>
          <w:rFonts w:ascii="宋体" w:hAnsi="宋体" w:eastAsia="宋体" w:cs="宋体"/>
          <w:szCs w:val="22"/>
          <w:highlight w:val="none"/>
        </w:rPr>
      </w:pPr>
      <w:r>
        <w:rPr>
          <w:rFonts w:hint="eastAsia" w:ascii="宋体" w:hAnsi="宋体" w:eastAsia="宋体" w:cs="宋体"/>
          <w:szCs w:val="22"/>
          <w:highlight w:val="none"/>
        </w:rPr>
        <w:t xml:space="preserve">                                                         金额单位：人民币元</w:t>
      </w:r>
    </w:p>
    <w:tbl>
      <w:tblPr>
        <w:tblStyle w:val="57"/>
        <w:tblW w:w="87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4"/>
        <w:gridCol w:w="1752"/>
        <w:gridCol w:w="1561"/>
        <w:gridCol w:w="188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194" w:type="dxa"/>
            <w:tcBorders>
              <w:left w:val="single" w:color="000000" w:sz="10" w:space="0"/>
              <w:bottom w:val="single" w:color="auto"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2"/>
                <w:szCs w:val="21"/>
                <w:highlight w:val="none"/>
              </w:rPr>
              <w:t>项目</w:t>
            </w:r>
          </w:p>
        </w:tc>
        <w:tc>
          <w:tcPr>
            <w:tcW w:w="1752" w:type="dxa"/>
            <w:tcBorders>
              <w:left w:val="single" w:color="000000" w:sz="4" w:space="0"/>
              <w:bottom w:val="single" w:color="auto"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1"/>
                <w:szCs w:val="21"/>
                <w:highlight w:val="none"/>
              </w:rPr>
              <w:t>账面价值</w:t>
            </w:r>
          </w:p>
        </w:tc>
        <w:tc>
          <w:tcPr>
            <w:tcW w:w="1561" w:type="dxa"/>
            <w:tcBorders>
              <w:left w:val="single" w:color="000000"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1"/>
                <w:szCs w:val="21"/>
                <w:highlight w:val="none"/>
              </w:rPr>
              <w:t>评估</w:t>
            </w:r>
            <w:r>
              <w:rPr>
                <w:rFonts w:hint="eastAsia" w:ascii="宋体" w:hAnsi="宋体" w:eastAsia="宋体" w:cs="宋体"/>
                <w:b/>
                <w:bCs/>
                <w:spacing w:val="-1"/>
                <w:szCs w:val="21"/>
                <w:highlight w:val="none"/>
              </w:rPr>
              <w:t>原值</w:t>
            </w:r>
          </w:p>
        </w:tc>
        <w:tc>
          <w:tcPr>
            <w:tcW w:w="1889" w:type="dxa"/>
            <w:tcBorders>
              <w:left w:val="single" w:color="000000"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hint="eastAsia" w:ascii="宋体" w:hAnsi="宋体" w:eastAsia="宋体" w:cs="宋体"/>
                <w:b/>
                <w:bCs/>
                <w:spacing w:val="-2"/>
                <w:szCs w:val="21"/>
                <w:highlight w:val="none"/>
              </w:rPr>
              <w:t>评估价值</w:t>
            </w:r>
          </w:p>
        </w:tc>
        <w:tc>
          <w:tcPr>
            <w:tcW w:w="1309" w:type="dxa"/>
            <w:tcBorders>
              <w:left w:val="single" w:color="000000" w:sz="4" w:space="0"/>
              <w:right w:val="single" w:color="000000" w:sz="10" w:space="0"/>
            </w:tcBorders>
            <w:vAlign w:val="center"/>
          </w:tcPr>
          <w:p>
            <w:pPr>
              <w:spacing w:line="440" w:lineRule="exact"/>
              <w:jc w:val="center"/>
              <w:rPr>
                <w:rFonts w:ascii="Arial Narrow" w:hAnsi="Arial Narrow" w:eastAsia="宋体" w:cs="Arial Narrow"/>
                <w:b/>
                <w:bCs/>
                <w:szCs w:val="21"/>
                <w:highlight w:val="none"/>
              </w:rPr>
            </w:pPr>
            <w:r>
              <w:rPr>
                <w:rFonts w:hint="eastAsia" w:ascii="Arial Narrow" w:hAnsi="Arial Narrow" w:eastAsia="宋体" w:cs="Arial Narrow"/>
                <w:b/>
                <w:bCs/>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194" w:type="dxa"/>
            <w:tcBorders>
              <w:left w:val="single" w:color="000000" w:sz="10" w:space="0"/>
              <w:right w:val="single" w:color="000000" w:sz="4" w:space="0"/>
            </w:tcBorders>
            <w:vAlign w:val="center"/>
          </w:tcPr>
          <w:p>
            <w:pPr>
              <w:spacing w:line="440" w:lineRule="exact"/>
              <w:jc w:val="center"/>
              <w:rPr>
                <w:rFonts w:ascii="宋体" w:hAnsi="宋体" w:eastAsia="宋体" w:cs="宋体"/>
                <w:szCs w:val="21"/>
                <w:highlight w:val="none"/>
              </w:rPr>
            </w:pPr>
            <w:r>
              <w:rPr>
                <w:highlight w:val="none"/>
              </w:rPr>
              <w:fldChar w:fldCharType="begin"/>
            </w:r>
            <w:r>
              <w:rPr>
                <w:highlight w:val="none"/>
              </w:rPr>
              <w:instrText xml:space="preserve"> HYPERLINK "file:///C:\\Documents%20and%20Settings\\lv0820\\Application%20Data\\SogouExplorer\\Download\\2011-12-31ֽϸ(Ժ).xls%23豸!@@" </w:instrText>
            </w:r>
            <w:r>
              <w:rPr>
                <w:highlight w:val="none"/>
              </w:rPr>
              <w:fldChar w:fldCharType="separate"/>
            </w:r>
            <w:r>
              <w:rPr>
                <w:rFonts w:ascii="宋体" w:hAnsi="宋体" w:eastAsia="宋体" w:cs="宋体"/>
                <w:spacing w:val="-4"/>
                <w:szCs w:val="21"/>
                <w:highlight w:val="none"/>
              </w:rPr>
              <w:t>固定资</w:t>
            </w:r>
            <w:r>
              <w:rPr>
                <w:rFonts w:ascii="宋体" w:hAnsi="宋体" w:eastAsia="宋体" w:cs="宋体"/>
                <w:spacing w:val="-2"/>
                <w:szCs w:val="21"/>
                <w:highlight w:val="none"/>
              </w:rPr>
              <w:t>产</w:t>
            </w:r>
            <w:r>
              <w:rPr>
                <w:rFonts w:eastAsia="Times New Roman"/>
                <w:spacing w:val="-2"/>
                <w:szCs w:val="21"/>
                <w:highlight w:val="none"/>
              </w:rPr>
              <w:t>-</w:t>
            </w:r>
            <w:r>
              <w:rPr>
                <w:rFonts w:hint="eastAsia" w:ascii="宋体" w:hAnsi="宋体" w:eastAsia="宋体" w:cs="宋体"/>
                <w:spacing w:val="-2"/>
                <w:szCs w:val="21"/>
                <w:highlight w:val="none"/>
              </w:rPr>
              <w:t>车辆</w:t>
            </w:r>
            <w:r>
              <w:rPr>
                <w:rFonts w:hint="eastAsia" w:ascii="宋体" w:hAnsi="宋体" w:eastAsia="宋体" w:cs="宋体"/>
                <w:spacing w:val="-2"/>
                <w:szCs w:val="21"/>
                <w:highlight w:val="none"/>
              </w:rPr>
              <w:fldChar w:fldCharType="end"/>
            </w:r>
          </w:p>
        </w:tc>
        <w:tc>
          <w:tcPr>
            <w:tcW w:w="1752" w:type="dxa"/>
            <w:tcBorders>
              <w:left w:val="single" w:color="000000" w:sz="4" w:space="0"/>
              <w:right w:val="single" w:color="000000" w:sz="4" w:space="0"/>
            </w:tcBorders>
            <w:vAlign w:val="center"/>
          </w:tcPr>
          <w:p>
            <w:pPr>
              <w:spacing w:line="440" w:lineRule="exact"/>
              <w:jc w:val="center"/>
              <w:rPr>
                <w:rFonts w:eastAsia="宋体"/>
                <w:spacing w:val="5"/>
                <w:sz w:val="19"/>
                <w:szCs w:val="19"/>
                <w:highlight w:val="none"/>
              </w:rPr>
            </w:pPr>
          </w:p>
        </w:tc>
        <w:tc>
          <w:tcPr>
            <w:tcW w:w="1561" w:type="dxa"/>
            <w:tcBorders>
              <w:left w:val="single" w:color="000000" w:sz="4" w:space="0"/>
              <w:right w:val="single" w:color="000000" w:sz="4" w:space="0"/>
            </w:tcBorders>
            <w:vAlign w:val="center"/>
          </w:tcPr>
          <w:p>
            <w:pPr>
              <w:spacing w:line="440" w:lineRule="exact"/>
              <w:jc w:val="center"/>
              <w:rPr>
                <w:rFonts w:eastAsia="宋体"/>
                <w:spacing w:val="5"/>
                <w:sz w:val="19"/>
                <w:szCs w:val="19"/>
                <w:highlight w:val="none"/>
              </w:rPr>
            </w:pPr>
          </w:p>
        </w:tc>
        <w:tc>
          <w:tcPr>
            <w:tcW w:w="1889" w:type="dxa"/>
            <w:tcBorders>
              <w:left w:val="single" w:color="000000" w:sz="4" w:space="0"/>
              <w:right w:val="single" w:color="000000" w:sz="4" w:space="0"/>
            </w:tcBorders>
            <w:vAlign w:val="center"/>
          </w:tcPr>
          <w:p>
            <w:pPr>
              <w:spacing w:line="440" w:lineRule="exact"/>
              <w:jc w:val="center"/>
              <w:rPr>
                <w:rFonts w:hint="eastAsia" w:eastAsia="宋体"/>
                <w:spacing w:val="5"/>
                <w:sz w:val="19"/>
                <w:szCs w:val="19"/>
                <w:highlight w:val="none"/>
                <w:lang w:eastAsia="zh-CN"/>
              </w:rPr>
            </w:pPr>
            <w:r>
              <w:rPr>
                <w:rFonts w:hint="eastAsia" w:eastAsia="宋体"/>
                <w:spacing w:val="5"/>
                <w:sz w:val="19"/>
                <w:szCs w:val="19"/>
                <w:highlight w:val="none"/>
              </w:rPr>
              <w:t xml:space="preserve"> </w:t>
            </w:r>
            <w:r>
              <w:rPr>
                <w:rFonts w:hint="eastAsia" w:eastAsia="宋体"/>
                <w:spacing w:val="5"/>
                <w:sz w:val="19"/>
                <w:szCs w:val="19"/>
                <w:highlight w:val="none"/>
                <w:lang w:eastAsia="zh-CN"/>
              </w:rPr>
              <w:t>184,300.00</w:t>
            </w:r>
          </w:p>
        </w:tc>
        <w:tc>
          <w:tcPr>
            <w:tcW w:w="1309" w:type="dxa"/>
            <w:tcBorders>
              <w:left w:val="single" w:color="000000" w:sz="4" w:space="0"/>
              <w:right w:val="single" w:color="000000" w:sz="10" w:space="0"/>
            </w:tcBorders>
            <w:vAlign w:val="center"/>
          </w:tcPr>
          <w:p>
            <w:pPr>
              <w:spacing w:line="440" w:lineRule="exact"/>
              <w:ind w:left="411"/>
              <w:jc w:val="center"/>
              <w:rPr>
                <w:rFonts w:eastAsia="宋体"/>
                <w:spacing w:val="5"/>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2194" w:type="dxa"/>
            <w:tcBorders>
              <w:left w:val="single" w:color="000000" w:sz="10"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4"/>
                <w:szCs w:val="21"/>
                <w:highlight w:val="none"/>
              </w:rPr>
              <w:t>资</w:t>
            </w:r>
            <w:r>
              <w:rPr>
                <w:rFonts w:ascii="宋体" w:hAnsi="宋体" w:eastAsia="宋体" w:cs="宋体"/>
                <w:b/>
                <w:bCs/>
                <w:spacing w:val="-3"/>
                <w:szCs w:val="21"/>
                <w:highlight w:val="none"/>
              </w:rPr>
              <w:t>产总计</w:t>
            </w:r>
          </w:p>
        </w:tc>
        <w:tc>
          <w:tcPr>
            <w:tcW w:w="1752" w:type="dxa"/>
            <w:tcBorders>
              <w:left w:val="single" w:color="000000" w:sz="4" w:space="0"/>
              <w:right w:val="single" w:color="000000" w:sz="4" w:space="0"/>
            </w:tcBorders>
            <w:vAlign w:val="center"/>
          </w:tcPr>
          <w:p>
            <w:pPr>
              <w:spacing w:line="440" w:lineRule="exact"/>
              <w:jc w:val="center"/>
              <w:rPr>
                <w:rFonts w:eastAsia="宋体"/>
                <w:b/>
                <w:bCs/>
                <w:spacing w:val="5"/>
                <w:sz w:val="19"/>
                <w:szCs w:val="19"/>
                <w:highlight w:val="none"/>
              </w:rPr>
            </w:pPr>
          </w:p>
        </w:tc>
        <w:tc>
          <w:tcPr>
            <w:tcW w:w="1561" w:type="dxa"/>
            <w:tcBorders>
              <w:left w:val="single" w:color="000000" w:sz="4" w:space="0"/>
              <w:right w:val="single" w:color="000000" w:sz="4" w:space="0"/>
            </w:tcBorders>
            <w:vAlign w:val="center"/>
          </w:tcPr>
          <w:p>
            <w:pPr>
              <w:spacing w:line="440" w:lineRule="exact"/>
              <w:jc w:val="center"/>
              <w:rPr>
                <w:rFonts w:eastAsia="宋体"/>
                <w:b/>
                <w:bCs/>
                <w:spacing w:val="5"/>
                <w:sz w:val="19"/>
                <w:szCs w:val="19"/>
                <w:highlight w:val="none"/>
              </w:rPr>
            </w:pPr>
          </w:p>
        </w:tc>
        <w:tc>
          <w:tcPr>
            <w:tcW w:w="1889" w:type="dxa"/>
            <w:tcBorders>
              <w:left w:val="single" w:color="000000" w:sz="4" w:space="0"/>
              <w:right w:val="single" w:color="000000" w:sz="4" w:space="0"/>
            </w:tcBorders>
            <w:vAlign w:val="center"/>
          </w:tcPr>
          <w:p>
            <w:pPr>
              <w:spacing w:line="440" w:lineRule="exact"/>
              <w:jc w:val="center"/>
              <w:rPr>
                <w:rFonts w:hint="eastAsia" w:eastAsia="宋体"/>
                <w:b/>
                <w:bCs/>
                <w:spacing w:val="5"/>
                <w:sz w:val="19"/>
                <w:szCs w:val="19"/>
                <w:highlight w:val="none"/>
                <w:lang w:eastAsia="zh-CN"/>
              </w:rPr>
            </w:pPr>
            <w:r>
              <w:rPr>
                <w:rFonts w:hint="eastAsia" w:eastAsia="宋体"/>
                <w:b/>
                <w:bCs/>
                <w:spacing w:val="5"/>
                <w:sz w:val="19"/>
                <w:szCs w:val="19"/>
                <w:highlight w:val="none"/>
              </w:rPr>
              <w:t xml:space="preserve"> </w:t>
            </w:r>
            <w:r>
              <w:rPr>
                <w:rFonts w:hint="eastAsia" w:eastAsia="宋体"/>
                <w:b/>
                <w:bCs/>
                <w:spacing w:val="5"/>
                <w:sz w:val="19"/>
                <w:szCs w:val="19"/>
                <w:highlight w:val="none"/>
                <w:lang w:eastAsia="zh-CN"/>
              </w:rPr>
              <w:t>184,300.00</w:t>
            </w:r>
          </w:p>
        </w:tc>
        <w:tc>
          <w:tcPr>
            <w:tcW w:w="1309" w:type="dxa"/>
            <w:tcBorders>
              <w:left w:val="single" w:color="000000" w:sz="4" w:space="0"/>
              <w:right w:val="single" w:color="000000" w:sz="10" w:space="0"/>
            </w:tcBorders>
            <w:vAlign w:val="center"/>
          </w:tcPr>
          <w:p>
            <w:pPr>
              <w:spacing w:line="440" w:lineRule="exact"/>
              <w:ind w:left="411"/>
              <w:jc w:val="center"/>
              <w:rPr>
                <w:rFonts w:eastAsia="宋体"/>
                <w:b/>
                <w:bCs/>
                <w:spacing w:val="5"/>
                <w:sz w:val="19"/>
                <w:szCs w:val="19"/>
                <w:highlight w:val="none"/>
              </w:rPr>
            </w:pPr>
          </w:p>
        </w:tc>
      </w:tr>
    </w:tbl>
    <w:p>
      <w:pPr>
        <w:pStyle w:val="6"/>
        <w:spacing w:line="440" w:lineRule="exact"/>
        <w:ind w:firstLine="504" w:firstLineChars="200"/>
        <w:rPr>
          <w:rFonts w:ascii="宋体" w:hAnsi="宋体" w:eastAsia="宋体" w:cs="宋体"/>
          <w:spacing w:val="6"/>
          <w:kern w:val="2"/>
          <w:szCs w:val="24"/>
          <w:highlight w:val="none"/>
        </w:rPr>
      </w:pPr>
      <w:r>
        <w:rPr>
          <w:rFonts w:hint="eastAsia" w:ascii="宋体" w:hAnsi="宋体" w:eastAsia="宋体" w:cs="宋体"/>
          <w:spacing w:val="6"/>
          <w:kern w:val="2"/>
          <w:szCs w:val="24"/>
          <w:highlight w:val="none"/>
        </w:rPr>
        <w:t>（详见评估明细表）</w:t>
      </w:r>
    </w:p>
    <w:p>
      <w:pPr>
        <w:pStyle w:val="6"/>
        <w:spacing w:line="440" w:lineRule="exact"/>
        <w:ind w:firstLine="504" w:firstLineChars="200"/>
        <w:rPr>
          <w:rFonts w:ascii="宋体" w:hAnsi="宋体" w:eastAsia="宋体" w:cs="宋体"/>
          <w:spacing w:val="6"/>
          <w:kern w:val="2"/>
          <w:szCs w:val="24"/>
          <w:highlight w:val="none"/>
        </w:rPr>
      </w:pPr>
      <w:r>
        <w:rPr>
          <w:rFonts w:ascii="宋体" w:hAnsi="宋体" w:eastAsia="宋体" w:cs="宋体"/>
          <w:spacing w:val="6"/>
          <w:kern w:val="2"/>
          <w:szCs w:val="24"/>
          <w:highlight w:val="none"/>
        </w:rPr>
        <w:t>本资产评估报告的评估结论使用有效期限在市场条件变化不大的情况下，从评估基准日起一年，即</w:t>
      </w:r>
      <w:r>
        <w:rPr>
          <w:rFonts w:hint="eastAsia" w:ascii="宋体" w:hAnsi="宋体" w:eastAsia="宋体" w:cs="宋体"/>
          <w:spacing w:val="6"/>
          <w:kern w:val="2"/>
          <w:szCs w:val="24"/>
          <w:highlight w:val="none"/>
          <w:lang w:eastAsia="zh-CN"/>
        </w:rPr>
        <w:t>2023年12月26日</w:t>
      </w:r>
      <w:r>
        <w:rPr>
          <w:rFonts w:ascii="宋体" w:hAnsi="宋体" w:eastAsia="宋体" w:cs="宋体"/>
          <w:spacing w:val="6"/>
          <w:kern w:val="2"/>
          <w:szCs w:val="24"/>
          <w:highlight w:val="none"/>
        </w:rPr>
        <w:t>起至</w:t>
      </w:r>
      <w:r>
        <w:rPr>
          <w:rFonts w:hint="eastAsia" w:ascii="宋体" w:hAnsi="宋体" w:eastAsia="宋体" w:cs="宋体"/>
          <w:spacing w:val="6"/>
          <w:kern w:val="2"/>
          <w:szCs w:val="24"/>
          <w:highlight w:val="none"/>
          <w:lang w:eastAsia="zh-CN"/>
        </w:rPr>
        <w:t>2024年12月25日</w:t>
      </w:r>
      <w:r>
        <w:rPr>
          <w:rFonts w:ascii="宋体" w:hAnsi="宋体" w:eastAsia="宋体" w:cs="宋体"/>
          <w:spacing w:val="6"/>
          <w:kern w:val="2"/>
          <w:szCs w:val="24"/>
          <w:highlight w:val="none"/>
        </w:rPr>
        <w:t>止</w:t>
      </w:r>
      <w:r>
        <w:rPr>
          <w:rFonts w:hint="eastAsia" w:ascii="宋体" w:hAnsi="宋体" w:eastAsia="宋体" w:cs="宋体"/>
          <w:spacing w:val="6"/>
          <w:kern w:val="2"/>
          <w:szCs w:val="24"/>
          <w:highlight w:val="none"/>
        </w:rPr>
        <w:t>，超过一年使用此评估结果无效，需重新进行资产评估</w:t>
      </w:r>
      <w:r>
        <w:rPr>
          <w:rFonts w:ascii="宋体" w:hAnsi="宋体" w:eastAsia="宋体" w:cs="宋体"/>
          <w:spacing w:val="6"/>
          <w:kern w:val="2"/>
          <w:szCs w:val="24"/>
          <w:highlight w:val="none"/>
        </w:rPr>
        <w:t>。</w:t>
      </w:r>
    </w:p>
    <w:p>
      <w:pPr>
        <w:pStyle w:val="6"/>
        <w:spacing w:line="440" w:lineRule="exact"/>
        <w:ind w:firstLine="504" w:firstLineChars="200"/>
        <w:rPr>
          <w:rFonts w:ascii="宋体" w:hAnsi="宋体" w:eastAsia="宋体" w:cs="宋体"/>
          <w:spacing w:val="6"/>
          <w:kern w:val="2"/>
          <w:szCs w:val="24"/>
          <w:highlight w:val="none"/>
        </w:rPr>
      </w:pPr>
      <w:r>
        <w:rPr>
          <w:rFonts w:ascii="宋体" w:hAnsi="宋体" w:eastAsia="宋体" w:cs="宋体"/>
          <w:spacing w:val="6"/>
          <w:kern w:val="2"/>
          <w:szCs w:val="24"/>
          <w:highlight w:val="none"/>
        </w:rPr>
        <w:t>若评估结论在使用有效期内市场条件发生了较大变化，资产评估报告使用人应当关注对评估结论的影响或委托人重新委托评估机构进行评估。</w:t>
      </w:r>
    </w:p>
    <w:p>
      <w:pPr>
        <w:pStyle w:val="6"/>
        <w:spacing w:line="480" w:lineRule="exact"/>
        <w:ind w:firstLine="506" w:firstLineChars="200"/>
        <w:rPr>
          <w:rFonts w:ascii="宋体" w:hAnsi="宋体" w:eastAsia="宋体" w:cs="宋体"/>
          <w:b/>
          <w:bCs/>
          <w:spacing w:val="6"/>
          <w:kern w:val="2"/>
          <w:szCs w:val="24"/>
          <w:highlight w:val="none"/>
        </w:rPr>
      </w:pPr>
      <w:r>
        <w:rPr>
          <w:rFonts w:ascii="宋体" w:hAnsi="宋体" w:eastAsia="宋体" w:cs="宋体"/>
          <w:b/>
          <w:bCs/>
          <w:spacing w:val="6"/>
          <w:kern w:val="2"/>
          <w:szCs w:val="24"/>
          <w:highlight w:val="none"/>
        </w:rPr>
        <w:t>以上内容摘自资产评估报告正文，欲了解本评估业务的详细情况和正确理解评估结论，应当阅读资产评估报告正文。</w:t>
      </w:r>
    </w:p>
    <w:p>
      <w:pPr>
        <w:snapToGrid w:val="0"/>
        <w:spacing w:line="360" w:lineRule="auto"/>
        <w:rPr>
          <w:rFonts w:ascii="Calibri" w:hAnsi="Calibri" w:eastAsia="FangSong_GB2312" w:cs="Calibri"/>
          <w:spacing w:val="6"/>
          <w:sz w:val="28"/>
          <w:highlight w:val="none"/>
        </w:rPr>
      </w:pPr>
    </w:p>
    <w:p>
      <w:pPr>
        <w:snapToGrid w:val="0"/>
        <w:jc w:val="center"/>
        <w:rPr>
          <w:rFonts w:ascii="Calibri" w:hAnsi="Calibri" w:eastAsia="FangSong_GB2312" w:cs="Calibri"/>
          <w:spacing w:val="6"/>
          <w:sz w:val="28"/>
          <w:highlight w:val="none"/>
        </w:rPr>
        <w:sectPr>
          <w:pgSz w:w="11906" w:h="16838"/>
          <w:pgMar w:top="1588" w:right="1502" w:bottom="1588" w:left="1701" w:header="851" w:footer="737" w:gutter="0"/>
          <w:cols w:space="425" w:num="1"/>
          <w:titlePg/>
          <w:docGrid w:type="lines" w:linePitch="326" w:charSpace="0"/>
        </w:sectPr>
      </w:pPr>
    </w:p>
    <w:p>
      <w:pPr>
        <w:tabs>
          <w:tab w:val="center" w:pos="4650"/>
          <w:tab w:val="left" w:pos="4700"/>
        </w:tabs>
        <w:adjustRightInd w:val="0"/>
        <w:jc w:val="center"/>
        <w:textAlignment w:val="baseline"/>
        <w:rPr>
          <w:rFonts w:ascii="宋体" w:hAnsi="宋体" w:eastAsia="宋体" w:cs="宋体"/>
          <w:b/>
          <w:sz w:val="36"/>
          <w:szCs w:val="36"/>
          <w:highlight w:val="none"/>
        </w:rPr>
      </w:pPr>
      <w:r>
        <w:rPr>
          <w:rFonts w:hint="eastAsia" w:ascii="宋体" w:hAnsi="宋体" w:eastAsia="宋体" w:cs="宋体"/>
          <w:b/>
          <w:sz w:val="36"/>
          <w:szCs w:val="36"/>
          <w:highlight w:val="none"/>
        </w:rPr>
        <w:t>桓台县人民法院</w:t>
      </w:r>
    </w:p>
    <w:p>
      <w:pPr>
        <w:tabs>
          <w:tab w:val="center" w:pos="4650"/>
          <w:tab w:val="left" w:pos="4700"/>
        </w:tabs>
        <w:adjustRightInd w:val="0"/>
        <w:jc w:val="center"/>
        <w:textAlignment w:val="baseline"/>
        <w:rPr>
          <w:rFonts w:ascii="宋体" w:hAnsi="宋体" w:eastAsia="宋体" w:cs="宋体"/>
          <w:b/>
          <w:sz w:val="36"/>
          <w:szCs w:val="36"/>
          <w:highlight w:val="none"/>
        </w:rPr>
      </w:pPr>
      <w:r>
        <w:rPr>
          <w:rFonts w:hint="eastAsia" w:ascii="宋体" w:hAnsi="宋体" w:eastAsia="宋体" w:cs="宋体"/>
          <w:b/>
          <w:sz w:val="36"/>
          <w:szCs w:val="36"/>
          <w:highlight w:val="none"/>
        </w:rPr>
        <w:t>拟财产处置涉及的部分资产价值项目</w:t>
      </w:r>
    </w:p>
    <w:p>
      <w:pPr>
        <w:tabs>
          <w:tab w:val="center" w:pos="4650"/>
          <w:tab w:val="left" w:pos="4700"/>
        </w:tabs>
        <w:adjustRightInd w:val="0"/>
        <w:jc w:val="center"/>
        <w:textAlignment w:val="baseline"/>
        <w:rPr>
          <w:rFonts w:ascii="宋体" w:hAnsi="宋体" w:eastAsia="宋体" w:cs="宋体"/>
          <w:sz w:val="36"/>
          <w:szCs w:val="36"/>
          <w:highlight w:val="none"/>
        </w:rPr>
      </w:pPr>
      <w:r>
        <w:rPr>
          <w:rFonts w:hint="eastAsia" w:ascii="宋体" w:hAnsi="宋体" w:eastAsia="宋体" w:cs="宋体"/>
          <w:b/>
          <w:sz w:val="36"/>
          <w:szCs w:val="36"/>
          <w:highlight w:val="none"/>
        </w:rPr>
        <w:t>资产评估报告</w:t>
      </w:r>
      <w:bookmarkStart w:id="9" w:name="_Toc7798"/>
      <w:r>
        <w:rPr>
          <w:rFonts w:hint="eastAsia" w:ascii="宋体" w:hAnsi="宋体" w:eastAsia="宋体" w:cs="宋体"/>
          <w:b/>
          <w:bCs/>
          <w:sz w:val="36"/>
          <w:szCs w:val="36"/>
          <w:highlight w:val="none"/>
        </w:rPr>
        <w:t>正文</w:t>
      </w:r>
      <w:bookmarkEnd w:id="9"/>
    </w:p>
    <w:p>
      <w:pPr>
        <w:adjustRightInd w:val="0"/>
        <w:snapToGrid w:val="0"/>
        <w:spacing w:line="360" w:lineRule="auto"/>
        <w:jc w:val="center"/>
        <w:textAlignment w:val="baseline"/>
        <w:rPr>
          <w:rFonts w:ascii="宋体" w:hAnsi="宋体" w:eastAsia="宋体" w:cs="宋体"/>
          <w:b/>
          <w:sz w:val="24"/>
          <w:szCs w:val="32"/>
          <w:highlight w:val="none"/>
        </w:rPr>
      </w:pPr>
      <w:r>
        <w:rPr>
          <w:rFonts w:hint="eastAsia" w:ascii="宋体" w:hAnsi="宋体" w:eastAsia="宋体" w:cs="宋体"/>
          <w:b/>
          <w:sz w:val="24"/>
          <w:szCs w:val="32"/>
          <w:highlight w:val="none"/>
        </w:rPr>
        <w:t>国润资评报字〔2024〕第ZC001号</w:t>
      </w:r>
    </w:p>
    <w:p>
      <w:pPr>
        <w:pBdr>
          <w:top w:val="single" w:color="auto" w:sz="12" w:space="2"/>
        </w:pBdr>
        <w:adjustRightInd w:val="0"/>
        <w:snapToGrid w:val="0"/>
        <w:spacing w:line="360" w:lineRule="auto"/>
        <w:textAlignment w:val="baseline"/>
        <w:rPr>
          <w:rFonts w:ascii="Calibri" w:hAnsi="Calibri" w:eastAsia="宋体" w:cs="Calibri"/>
          <w:b/>
          <w:szCs w:val="24"/>
          <w:highlight w:val="none"/>
        </w:rPr>
      </w:pPr>
    </w:p>
    <w:p>
      <w:pPr>
        <w:tabs>
          <w:tab w:val="left" w:pos="11988"/>
        </w:tabs>
        <w:adjustRightInd w:val="0"/>
        <w:snapToGrid w:val="0"/>
        <w:spacing w:line="520" w:lineRule="exact"/>
        <w:ind w:firstLine="504" w:firstLineChars="200"/>
        <w:rPr>
          <w:rFonts w:ascii="Calibri" w:hAnsi="Calibri" w:cs="Calibri"/>
          <w:spacing w:val="6"/>
          <w:sz w:val="24"/>
          <w:szCs w:val="24"/>
          <w:highlight w:val="none"/>
        </w:rPr>
      </w:pPr>
      <w:r>
        <w:rPr>
          <w:rFonts w:hint="eastAsia" w:ascii="Calibri" w:hAnsi="Calibri" w:cs="Calibri"/>
          <w:spacing w:val="6"/>
          <w:sz w:val="24"/>
          <w:szCs w:val="24"/>
          <w:highlight w:val="none"/>
        </w:rPr>
        <w:t>桓台县人民法院</w:t>
      </w:r>
      <w:r>
        <w:rPr>
          <w:rFonts w:ascii="Calibri" w:hAnsi="Calibri" w:cs="Calibri"/>
          <w:spacing w:val="6"/>
          <w:sz w:val="24"/>
          <w:szCs w:val="24"/>
          <w:highlight w:val="none"/>
        </w:rPr>
        <w:t>：</w:t>
      </w:r>
    </w:p>
    <w:p>
      <w:pPr>
        <w:tabs>
          <w:tab w:val="left" w:pos="1198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山东国润恒丰土地房地产评估有限公司接受桓台县人民法院的委托，根据国家有关资产评估的规定，本着客观、独立、公正、科学的原则，按照公认的资产评估方法，对桓台县人民法院拟资产处置项目所涉及的部分资产进行了评估。本公司评估人员按照必要的评估程序，对本委托项目所涉及的资产实施了实地勘查、市场调查与询证，对委托评估的资产在</w:t>
      </w:r>
      <w:r>
        <w:rPr>
          <w:rFonts w:hint="eastAsia" w:ascii="宋体" w:hAnsi="宋体" w:eastAsia="宋体" w:cs="宋体"/>
          <w:spacing w:val="6"/>
          <w:sz w:val="24"/>
          <w:szCs w:val="24"/>
          <w:highlight w:val="none"/>
          <w:lang w:eastAsia="zh-CN"/>
        </w:rPr>
        <w:t>2023年12月26日</w:t>
      </w:r>
      <w:r>
        <w:rPr>
          <w:rFonts w:hint="eastAsia" w:ascii="宋体" w:hAnsi="宋体" w:eastAsia="宋体" w:cs="宋体"/>
          <w:spacing w:val="6"/>
          <w:sz w:val="24"/>
          <w:szCs w:val="24"/>
          <w:highlight w:val="none"/>
        </w:rPr>
        <w:t>所表现的价值作出了公允反映。现将资产评估情况及评估结果报告如下：</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10" w:name="_Toc212289426"/>
      <w:bookmarkEnd w:id="10"/>
      <w:bookmarkStart w:id="11" w:name="_Toc212289427"/>
      <w:bookmarkEnd w:id="11"/>
      <w:bookmarkStart w:id="12" w:name="_Toc14617"/>
      <w:r>
        <w:rPr>
          <w:rFonts w:ascii="Calibri" w:hAnsi="Calibri" w:eastAsia="宋体" w:cs="Calibri"/>
          <w:spacing w:val="6"/>
          <w:sz w:val="24"/>
          <w:szCs w:val="24"/>
          <w:highlight w:val="none"/>
        </w:rPr>
        <w:t>委托人、被评估单位和其他资产评估报告使用人概况</w:t>
      </w:r>
      <w:bookmarkEnd w:id="12"/>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（一）委托人</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桓台县人民法院</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（二）被评估单位概况（涉案方：产权持有人）。</w:t>
      </w:r>
    </w:p>
    <w:p>
      <w:pPr>
        <w:tabs>
          <w:tab w:val="left" w:pos="11988"/>
        </w:tabs>
        <w:adjustRightInd w:val="0"/>
        <w:snapToGrid w:val="0"/>
        <w:spacing w:line="520" w:lineRule="exact"/>
        <w:ind w:firstLine="504" w:firstLineChars="200"/>
        <w:rPr>
          <w:rFonts w:ascii="Calibri" w:hAnsi="Calibri" w:cs="Calibri"/>
          <w:spacing w:val="6"/>
          <w:sz w:val="24"/>
          <w:szCs w:val="24"/>
          <w:highlight w:val="none"/>
        </w:rPr>
      </w:pPr>
      <w:bookmarkStart w:id="13" w:name="_Toc155191901"/>
      <w:bookmarkStart w:id="14" w:name="_Toc155192237"/>
      <w:bookmarkStart w:id="15" w:name="_Toc155193204"/>
      <w:bookmarkStart w:id="16" w:name="_Toc202945640"/>
      <w:bookmarkStart w:id="17" w:name="_Toc155192670"/>
      <w:bookmarkStart w:id="18" w:name="_Toc155192138"/>
      <w:bookmarkStart w:id="19" w:name="_Toc155192797"/>
      <w:r>
        <w:rPr>
          <w:rFonts w:hint="eastAsia" w:ascii="Calibri" w:hAnsi="Calibri" w:cs="Calibri"/>
          <w:spacing w:val="6"/>
          <w:sz w:val="24"/>
          <w:szCs w:val="24"/>
          <w:highlight w:val="none"/>
        </w:rPr>
        <w:t>自然人：王晨</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(三)委托人以外的其他报告使用者</w:t>
      </w:r>
    </w:p>
    <w:p>
      <w:pPr>
        <w:tabs>
          <w:tab w:val="left" w:pos="11988"/>
        </w:tabs>
        <w:adjustRightInd w:val="0"/>
        <w:snapToGrid w:val="0"/>
        <w:spacing w:line="520" w:lineRule="exact"/>
        <w:ind w:firstLine="504" w:firstLineChars="200"/>
        <w:rPr>
          <w:rFonts w:ascii="Calibri" w:hAnsi="Calibri" w:cs="Calibri"/>
          <w:spacing w:val="6"/>
          <w:sz w:val="24"/>
          <w:szCs w:val="24"/>
          <w:highlight w:val="none"/>
        </w:rPr>
      </w:pPr>
      <w:r>
        <w:rPr>
          <w:rFonts w:hint="eastAsia" w:ascii="Calibri" w:hAnsi="Calibri" w:cs="Calibri"/>
          <w:spacing w:val="6"/>
          <w:sz w:val="24"/>
          <w:szCs w:val="24"/>
          <w:highlight w:val="none"/>
        </w:rPr>
        <w:t>本评估报告的使用者为委托人及法律法规规定的相关当事人，法律另有规定的从其规定。</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20" w:name="_Toc10362"/>
      <w:r>
        <w:rPr>
          <w:rFonts w:ascii="Calibri" w:hAnsi="Calibri" w:eastAsia="宋体" w:cs="Calibri"/>
          <w:spacing w:val="6"/>
          <w:sz w:val="24"/>
          <w:szCs w:val="24"/>
          <w:highlight w:val="none"/>
        </w:rPr>
        <w:t>评估目的</w:t>
      </w:r>
      <w:bookmarkEnd w:id="13"/>
      <w:bookmarkEnd w:id="14"/>
      <w:bookmarkEnd w:id="15"/>
      <w:bookmarkEnd w:id="16"/>
      <w:bookmarkEnd w:id="17"/>
      <w:bookmarkEnd w:id="18"/>
      <w:bookmarkEnd w:id="19"/>
      <w:bookmarkEnd w:id="20"/>
    </w:p>
    <w:p>
      <w:pPr>
        <w:tabs>
          <w:tab w:val="left" w:pos="11988"/>
        </w:tabs>
        <w:adjustRightInd w:val="0"/>
        <w:snapToGrid w:val="0"/>
        <w:spacing w:line="520" w:lineRule="exact"/>
        <w:ind w:firstLine="504" w:firstLineChars="200"/>
        <w:rPr>
          <w:rFonts w:ascii="Calibri" w:hAnsi="Calibri" w:cs="Calibri"/>
          <w:spacing w:val="6"/>
          <w:sz w:val="24"/>
          <w:szCs w:val="24"/>
          <w:highlight w:val="none"/>
        </w:rPr>
      </w:pPr>
      <w:bookmarkStart w:id="21" w:name="_Toc209947345"/>
      <w:bookmarkStart w:id="22" w:name="_Toc155192139"/>
      <w:bookmarkStart w:id="23" w:name="_Toc155192671"/>
      <w:bookmarkStart w:id="24" w:name="_Toc155191902"/>
      <w:bookmarkStart w:id="25" w:name="_Toc155193205"/>
      <w:bookmarkStart w:id="26" w:name="_Toc155192798"/>
      <w:bookmarkStart w:id="27" w:name="_Toc155192238"/>
      <w:r>
        <w:rPr>
          <w:rFonts w:hint="eastAsia" w:ascii="Calibri" w:hAnsi="Calibri" w:cs="Calibri"/>
          <w:spacing w:val="6"/>
          <w:sz w:val="24"/>
          <w:szCs w:val="24"/>
          <w:highlight w:val="none"/>
        </w:rPr>
        <w:t>接受桓台县人民法院的委托，对涉案资产（车牌号为鲁</w:t>
      </w:r>
      <w:r>
        <w:rPr>
          <w:rFonts w:hint="eastAsia" w:ascii="Calibri" w:hAnsi="Calibri" w:cs="Calibri"/>
          <w:spacing w:val="6"/>
          <w:sz w:val="24"/>
          <w:szCs w:val="24"/>
          <w:highlight w:val="none"/>
          <w:lang w:eastAsia="zh-CN"/>
        </w:rPr>
        <w:t>B96B0Y</w:t>
      </w:r>
      <w:r>
        <w:rPr>
          <w:rFonts w:hint="eastAsia" w:ascii="Calibri" w:hAnsi="Calibri" w:cs="Calibri"/>
          <w:spacing w:val="6"/>
          <w:sz w:val="24"/>
          <w:szCs w:val="24"/>
          <w:highlight w:val="none"/>
        </w:rPr>
        <w:t>的雷克萨斯小型轿车一辆）在评估基准日价值进行评估，为人民法院确定财产处置参考价提供服务。</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28" w:name="_Toc32233"/>
      <w:r>
        <w:rPr>
          <w:rFonts w:ascii="Calibri" w:hAnsi="Calibri" w:eastAsia="宋体" w:cs="Calibri"/>
          <w:spacing w:val="6"/>
          <w:sz w:val="24"/>
          <w:szCs w:val="24"/>
          <w:highlight w:val="none"/>
        </w:rPr>
        <w:t>评估对象和评估范围</w:t>
      </w:r>
      <w:bookmarkEnd w:id="21"/>
      <w:bookmarkEnd w:id="28"/>
    </w:p>
    <w:p>
      <w:pPr>
        <w:numPr>
          <w:ilvl w:val="0"/>
          <w:numId w:val="3"/>
        </w:numPr>
        <w:tabs>
          <w:tab w:val="left" w:pos="1260"/>
          <w:tab w:val="left" w:pos="1440"/>
        </w:tabs>
        <w:adjustRightInd w:val="0"/>
        <w:snapToGrid w:val="0"/>
        <w:spacing w:line="520" w:lineRule="exact"/>
        <w:ind w:left="0" w:firstLine="504" w:firstLineChars="200"/>
        <w:rPr>
          <w:rFonts w:ascii="Calibri" w:hAnsi="Calibri" w:cs="Calibri"/>
          <w:spacing w:val="6"/>
          <w:sz w:val="24"/>
          <w:szCs w:val="24"/>
          <w:highlight w:val="none"/>
        </w:rPr>
      </w:pPr>
      <w:r>
        <w:rPr>
          <w:rFonts w:ascii="Calibri" w:hAnsi="Calibri" w:cs="Calibri"/>
          <w:spacing w:val="6"/>
          <w:sz w:val="24"/>
          <w:szCs w:val="24"/>
          <w:highlight w:val="none"/>
        </w:rPr>
        <w:t>评估对象和评估范围</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依据桓台县人民法院委托书 〔(2023)鲁0321执恢606号〕，本次评估对象为部分资产-车辆，具体评估范围为车牌号鲁</w:t>
      </w:r>
      <w:r>
        <w:rPr>
          <w:rFonts w:hint="eastAsia" w:ascii="宋体" w:hAnsi="宋体" w:eastAsia="宋体" w:cs="宋体"/>
          <w:spacing w:val="6"/>
          <w:sz w:val="24"/>
          <w:szCs w:val="24"/>
          <w:highlight w:val="none"/>
          <w:lang w:eastAsia="zh-CN"/>
        </w:rPr>
        <w:t>B96B0Y</w:t>
      </w:r>
      <w:r>
        <w:rPr>
          <w:rFonts w:hint="eastAsia" w:ascii="宋体" w:hAnsi="宋体" w:eastAsia="宋体" w:cs="宋体"/>
          <w:spacing w:val="6"/>
          <w:sz w:val="24"/>
          <w:szCs w:val="24"/>
          <w:highlight w:val="none"/>
        </w:rPr>
        <w:t>的雷克萨斯小型轿车一辆，以上资产为涉案资产。</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经现场勘查，委估车辆在评估基准日前处于闲置状态，车辆状况较好，表显里程为24883KM，</w:t>
      </w:r>
      <w:r>
        <w:rPr>
          <w:rFonts w:hint="eastAsia" w:ascii="宋体" w:hAnsi="宋体" w:eastAsia="宋体" w:cs="宋体"/>
          <w:sz w:val="24"/>
          <w:szCs w:val="24"/>
          <w:highlight w:val="none"/>
        </w:rPr>
        <w:t>因电瓶处于亏电状态，无法正常启动。</w:t>
      </w:r>
    </w:p>
    <w:p>
      <w:pPr>
        <w:adjustRightInd w:val="0"/>
        <w:snapToGrid w:val="0"/>
        <w:spacing w:line="520" w:lineRule="exact"/>
        <w:ind w:firstLine="504" w:firstLineChars="200"/>
        <w:rPr>
          <w:rFonts w:ascii="宋体" w:hAnsi="宋体" w:eastAsia="宋体" w:cs="宋体"/>
          <w:spacing w:val="6"/>
          <w:sz w:val="24"/>
          <w:szCs w:val="24"/>
          <w:highlight w:val="none"/>
        </w:rPr>
      </w:pPr>
      <w:bookmarkStart w:id="29" w:name="_Toc202945641"/>
      <w:r>
        <w:rPr>
          <w:rFonts w:hint="eastAsia" w:ascii="宋体" w:hAnsi="宋体" w:eastAsia="宋体" w:cs="宋体"/>
          <w:spacing w:val="6"/>
          <w:sz w:val="24"/>
          <w:szCs w:val="24"/>
          <w:highlight w:val="none"/>
        </w:rPr>
        <w:t>评估对象和范围与委托评估确定的评估对象和范围一致。</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30" w:name="_Toc11924"/>
      <w:r>
        <w:rPr>
          <w:rFonts w:ascii="Calibri" w:hAnsi="Calibri" w:eastAsia="宋体" w:cs="Calibri"/>
          <w:spacing w:val="6"/>
          <w:sz w:val="24"/>
          <w:szCs w:val="24"/>
          <w:highlight w:val="none"/>
        </w:rPr>
        <w:t>价值类型</w:t>
      </w:r>
      <w:bookmarkEnd w:id="22"/>
      <w:bookmarkEnd w:id="23"/>
      <w:bookmarkEnd w:id="24"/>
      <w:bookmarkEnd w:id="25"/>
      <w:bookmarkEnd w:id="26"/>
      <w:bookmarkEnd w:id="27"/>
      <w:bookmarkEnd w:id="29"/>
      <w:r>
        <w:rPr>
          <w:rFonts w:hint="eastAsia" w:ascii="Calibri" w:hAnsi="Calibri" w:eastAsia="宋体" w:cs="Calibri"/>
          <w:spacing w:val="6"/>
          <w:sz w:val="24"/>
          <w:szCs w:val="24"/>
          <w:highlight w:val="none"/>
        </w:rPr>
        <w:t>及其定义</w:t>
      </w:r>
      <w:bookmarkEnd w:id="30"/>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考虑本次评估业务的背景、具体情况及特点，确定本评估项目较为适宜的价值类型为市场价值。</w:t>
      </w:r>
    </w:p>
    <w:p>
      <w:pPr>
        <w:adjustRightInd w:val="0"/>
        <w:snapToGrid w:val="0"/>
        <w:spacing w:line="520" w:lineRule="exact"/>
        <w:ind w:firstLine="504" w:firstLineChars="200"/>
        <w:rPr>
          <w:rFonts w:ascii="宋体" w:hAnsi="宋体" w:eastAsia="宋体" w:cs="宋体"/>
          <w:spacing w:val="6"/>
          <w:sz w:val="24"/>
          <w:szCs w:val="24"/>
          <w:highlight w:val="none"/>
        </w:rPr>
      </w:pPr>
      <w:r>
        <w:rPr>
          <w:rFonts w:ascii="Calibri" w:hAnsi="Calibri" w:cs="Calibri"/>
          <w:spacing w:val="6"/>
          <w:sz w:val="24"/>
          <w:szCs w:val="24"/>
          <w:highlight w:val="none"/>
        </w:rPr>
        <w:t>即自愿买方和自愿卖方在各自理性行事且未受任何强迫的情况下，评估对象在评估基准日进行正常公平交易的价值估计数额。</w:t>
      </w:r>
      <w:bookmarkStart w:id="31" w:name="_Toc155192800"/>
      <w:bookmarkStart w:id="32" w:name="_Toc155192240"/>
      <w:bookmarkStart w:id="33" w:name="_Toc155193207"/>
      <w:bookmarkStart w:id="34" w:name="_Toc155191904"/>
      <w:bookmarkStart w:id="35" w:name="_Toc155192673"/>
      <w:bookmarkStart w:id="36" w:name="_Toc155192141"/>
      <w:bookmarkStart w:id="37" w:name="_Toc202945643"/>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38" w:name="_Toc30367"/>
      <w:r>
        <w:rPr>
          <w:rFonts w:ascii="Calibri" w:hAnsi="Calibri" w:eastAsia="宋体" w:cs="Calibri"/>
          <w:spacing w:val="6"/>
          <w:sz w:val="24"/>
          <w:szCs w:val="24"/>
          <w:highlight w:val="none"/>
        </w:rPr>
        <w:t>评估基准日</w:t>
      </w:r>
      <w:bookmarkEnd w:id="31"/>
      <w:bookmarkEnd w:id="32"/>
      <w:bookmarkEnd w:id="33"/>
      <w:bookmarkEnd w:id="34"/>
      <w:bookmarkEnd w:id="35"/>
      <w:bookmarkEnd w:id="36"/>
      <w:bookmarkEnd w:id="37"/>
      <w:bookmarkEnd w:id="38"/>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本项目资产评估基准日确定为</w:t>
      </w:r>
      <w:r>
        <w:rPr>
          <w:rFonts w:hint="eastAsia" w:ascii="宋体" w:hAnsi="宋体" w:eastAsia="宋体" w:cs="宋体"/>
          <w:spacing w:val="6"/>
          <w:sz w:val="24"/>
          <w:szCs w:val="24"/>
          <w:highlight w:val="none"/>
          <w:lang w:eastAsia="zh-CN"/>
        </w:rPr>
        <w:t>2023年12月26日</w:t>
      </w:r>
      <w:r>
        <w:rPr>
          <w:rFonts w:hint="eastAsia" w:ascii="宋体" w:hAnsi="宋体" w:eastAsia="宋体" w:cs="宋体"/>
          <w:spacing w:val="6"/>
          <w:sz w:val="24"/>
          <w:szCs w:val="24"/>
          <w:highlight w:val="none"/>
        </w:rPr>
        <w:t>，以人民币为计价货币。</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w:t>
      </w:r>
      <w:r>
        <w:rPr>
          <w:rFonts w:hint="eastAsia" w:ascii="宋体" w:hAnsi="宋体" w:eastAsia="宋体" w:cs="宋体"/>
          <w:spacing w:val="6"/>
          <w:sz w:val="24"/>
          <w:szCs w:val="24"/>
          <w:highlight w:val="none"/>
          <w:lang w:eastAsia="zh-CN"/>
        </w:rPr>
        <w:t>2023年12月26日</w:t>
      </w:r>
      <w:r>
        <w:rPr>
          <w:rFonts w:hint="eastAsia" w:ascii="宋体" w:hAnsi="宋体" w:eastAsia="宋体" w:cs="宋体"/>
          <w:spacing w:val="6"/>
          <w:sz w:val="24"/>
          <w:szCs w:val="24"/>
          <w:highlight w:val="none"/>
        </w:rPr>
        <w:t>作为评估基准日是基于以下原因确定：</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lang w:eastAsia="zh-CN"/>
        </w:rPr>
        <w:t>2023年12月26日</w:t>
      </w:r>
      <w:r>
        <w:rPr>
          <w:rFonts w:hint="eastAsia" w:ascii="宋体" w:hAnsi="宋体" w:eastAsia="宋体" w:cs="宋体"/>
          <w:spacing w:val="6"/>
          <w:sz w:val="24"/>
          <w:szCs w:val="24"/>
          <w:highlight w:val="none"/>
        </w:rPr>
        <w:t>是委托人确定的拟资产处置的时点。</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2、评估中所采用的价格均为评估基准日有效的价格标准。</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39" w:name="_Toc2440"/>
      <w:r>
        <w:rPr>
          <w:rFonts w:ascii="Calibri" w:hAnsi="Calibri" w:eastAsia="宋体" w:cs="Calibri"/>
          <w:spacing w:val="6"/>
          <w:sz w:val="24"/>
          <w:szCs w:val="24"/>
          <w:highlight w:val="none"/>
        </w:rPr>
        <w:t>评估依据</w:t>
      </w:r>
      <w:bookmarkEnd w:id="39"/>
    </w:p>
    <w:p>
      <w:pPr>
        <w:tabs>
          <w:tab w:val="left" w:pos="1418"/>
        </w:tabs>
        <w:adjustRightInd w:val="0"/>
        <w:snapToGrid w:val="0"/>
        <w:spacing w:line="520" w:lineRule="exact"/>
        <w:ind w:firstLine="504" w:firstLineChars="200"/>
        <w:rPr>
          <w:rFonts w:ascii="Calibri" w:hAnsi="Calibri" w:cs="Calibri"/>
          <w:spacing w:val="6"/>
          <w:sz w:val="24"/>
          <w:szCs w:val="24"/>
          <w:highlight w:val="none"/>
        </w:rPr>
      </w:pPr>
      <w:r>
        <w:rPr>
          <w:rFonts w:ascii="Calibri" w:hAnsi="Calibri" w:cs="Calibri"/>
          <w:spacing w:val="6"/>
          <w:sz w:val="24"/>
          <w:szCs w:val="24"/>
          <w:highlight w:val="none"/>
        </w:rPr>
        <w:t>本评估业务对应的评估依据为经济行为、法律法规、评估准则、权属、取价等依据。</w:t>
      </w:r>
    </w:p>
    <w:p>
      <w:pPr>
        <w:numPr>
          <w:ilvl w:val="0"/>
          <w:numId w:val="4"/>
        </w:numPr>
        <w:tabs>
          <w:tab w:val="left" w:pos="1418"/>
        </w:tabs>
        <w:adjustRightInd w:val="0"/>
        <w:snapToGrid w:val="0"/>
        <w:spacing w:line="520" w:lineRule="exact"/>
        <w:ind w:left="0" w:firstLine="504" w:firstLineChars="200"/>
        <w:rPr>
          <w:rFonts w:ascii="Calibri" w:hAnsi="Calibri" w:cs="Calibri"/>
          <w:spacing w:val="6"/>
          <w:sz w:val="24"/>
          <w:szCs w:val="24"/>
          <w:highlight w:val="none"/>
        </w:rPr>
      </w:pPr>
      <w:r>
        <w:rPr>
          <w:rFonts w:ascii="Calibri" w:hAnsi="Calibri" w:cs="Calibri"/>
          <w:spacing w:val="6"/>
          <w:sz w:val="24"/>
          <w:szCs w:val="24"/>
          <w:highlight w:val="none"/>
        </w:rPr>
        <w:t>经济行为依据</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桓台县人民法院委托书〔(2023)鲁0321执恢606号〕</w:t>
      </w:r>
    </w:p>
    <w:p>
      <w:pPr>
        <w:numPr>
          <w:ilvl w:val="0"/>
          <w:numId w:val="4"/>
        </w:numPr>
        <w:tabs>
          <w:tab w:val="left" w:pos="1418"/>
        </w:tabs>
        <w:adjustRightInd w:val="0"/>
        <w:snapToGrid w:val="0"/>
        <w:spacing w:line="520" w:lineRule="exact"/>
        <w:ind w:left="0" w:firstLine="504" w:firstLineChars="200"/>
        <w:rPr>
          <w:rFonts w:ascii="Calibri" w:hAnsi="Calibri" w:cs="Calibri"/>
          <w:spacing w:val="6"/>
          <w:sz w:val="24"/>
          <w:szCs w:val="24"/>
          <w:highlight w:val="none"/>
        </w:rPr>
      </w:pPr>
      <w:r>
        <w:rPr>
          <w:rFonts w:ascii="Calibri" w:hAnsi="Calibri" w:cs="Calibri"/>
          <w:spacing w:val="6"/>
          <w:sz w:val="24"/>
          <w:szCs w:val="24"/>
          <w:highlight w:val="none"/>
        </w:rPr>
        <w:t>法律法规依据</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ascii="宋体" w:hAnsi="宋体" w:eastAsia="宋体" w:cs="宋体"/>
          <w:spacing w:val="6"/>
          <w:sz w:val="24"/>
          <w:szCs w:val="24"/>
          <w:highlight w:val="none"/>
        </w:rPr>
        <w:t>《中华人民共和国资产评估法》（2016年7月2日主席令第46号）；</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ascii="宋体" w:hAnsi="宋体" w:eastAsia="宋体" w:cs="宋体"/>
          <w:spacing w:val="6"/>
          <w:sz w:val="24"/>
          <w:szCs w:val="24"/>
          <w:highlight w:val="none"/>
        </w:rPr>
        <w:t>《中华人民共和</w:t>
      </w:r>
      <w:r>
        <w:rPr>
          <w:rFonts w:hint="eastAsia" w:ascii="宋体" w:hAnsi="宋体" w:eastAsia="宋体" w:cs="宋体"/>
          <w:spacing w:val="6"/>
          <w:sz w:val="24"/>
          <w:szCs w:val="24"/>
          <w:highlight w:val="none"/>
        </w:rPr>
        <w:t>民法典</w:t>
      </w:r>
      <w:r>
        <w:rPr>
          <w:rFonts w:ascii="宋体" w:hAnsi="宋体" w:eastAsia="宋体" w:cs="宋体"/>
          <w:spacing w:val="6"/>
          <w:sz w:val="24"/>
          <w:szCs w:val="24"/>
          <w:highlight w:val="none"/>
        </w:rPr>
        <w:t>》（</w:t>
      </w:r>
      <w:r>
        <w:rPr>
          <w:rFonts w:hint="eastAsia" w:ascii="宋体" w:hAnsi="宋体" w:eastAsia="宋体" w:cs="宋体"/>
          <w:spacing w:val="6"/>
          <w:sz w:val="24"/>
          <w:szCs w:val="24"/>
          <w:highlight w:val="none"/>
        </w:rPr>
        <w:t>2020年5月28日  第十三届全国人民代表大会第三次会议通过</w:t>
      </w:r>
      <w:r>
        <w:rPr>
          <w:rFonts w:ascii="宋体" w:hAnsi="宋体" w:eastAsia="宋体" w:cs="宋体"/>
          <w:spacing w:val="6"/>
          <w:sz w:val="24"/>
          <w:szCs w:val="24"/>
          <w:highlight w:val="none"/>
        </w:rPr>
        <w:t>）；</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3、</w:t>
      </w:r>
      <w:r>
        <w:rPr>
          <w:rFonts w:ascii="宋体" w:hAnsi="宋体" w:eastAsia="宋体" w:cs="宋体"/>
          <w:spacing w:val="6"/>
          <w:sz w:val="24"/>
          <w:szCs w:val="24"/>
          <w:highlight w:val="none"/>
        </w:rPr>
        <w:t>《中华人民共和国合同法》（1999年3月15日第九届全国人民代表大会第二次会议，主席令第十五号）；</w:t>
      </w:r>
    </w:p>
    <w:p>
      <w:pPr>
        <w:numPr>
          <w:ilvl w:val="0"/>
          <w:numId w:val="4"/>
        </w:numPr>
        <w:tabs>
          <w:tab w:val="left" w:pos="1418"/>
        </w:tabs>
        <w:adjustRightInd w:val="0"/>
        <w:snapToGrid w:val="0"/>
        <w:spacing w:line="520" w:lineRule="exact"/>
        <w:ind w:left="0" w:firstLine="504" w:firstLineChars="200"/>
        <w:rPr>
          <w:rFonts w:ascii="Calibri" w:hAnsi="Calibri" w:cs="Calibri"/>
          <w:spacing w:val="6"/>
          <w:sz w:val="24"/>
          <w:szCs w:val="24"/>
          <w:highlight w:val="none"/>
        </w:rPr>
      </w:pPr>
      <w:r>
        <w:rPr>
          <w:rFonts w:ascii="Calibri" w:hAnsi="Calibri" w:cs="Calibri"/>
          <w:spacing w:val="6"/>
          <w:sz w:val="24"/>
          <w:szCs w:val="24"/>
          <w:highlight w:val="none"/>
        </w:rPr>
        <w:t>评估准则依据</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1、《资产评估准则-基本准则》</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2、《资产评估职业道德准则-基本准则》</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3、《资产评估准则-评估报告》</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4、《资产评估准则-评估程序》</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5、《资产评估准则-业务约定书》</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6、《资产评估准则-工作底稿》</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7、《资产评估准则-机器设备》</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8、《资产评估价值类型指导意见》</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9、《注册资产评估师关注评估对象法律权属指导意见》</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10、《人民法院委托司法执行财产处置资产评估指导意见》</w:t>
      </w:r>
    </w:p>
    <w:p>
      <w:pPr>
        <w:numPr>
          <w:ilvl w:val="0"/>
          <w:numId w:val="4"/>
        </w:numPr>
        <w:tabs>
          <w:tab w:val="left" w:pos="1418"/>
        </w:tabs>
        <w:adjustRightInd w:val="0"/>
        <w:snapToGrid w:val="0"/>
        <w:spacing w:line="520" w:lineRule="exact"/>
        <w:ind w:left="0" w:firstLine="504" w:firstLineChars="200"/>
        <w:rPr>
          <w:rFonts w:ascii="Calibri" w:hAnsi="Calibri" w:cs="Calibri"/>
          <w:spacing w:val="6"/>
          <w:sz w:val="24"/>
          <w:szCs w:val="24"/>
          <w:highlight w:val="none"/>
        </w:rPr>
      </w:pPr>
      <w:r>
        <w:rPr>
          <w:rFonts w:ascii="Calibri" w:hAnsi="Calibri" w:cs="Calibri"/>
          <w:spacing w:val="6"/>
          <w:sz w:val="24"/>
          <w:szCs w:val="24"/>
          <w:highlight w:val="none"/>
        </w:rPr>
        <w:t>取价依据</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bookmarkStart w:id="40" w:name="_Toc155192676"/>
      <w:bookmarkStart w:id="41" w:name="_Toc155192144"/>
      <w:bookmarkStart w:id="42" w:name="_Toc155191907"/>
      <w:bookmarkStart w:id="43" w:name="_Toc155192243"/>
      <w:bookmarkStart w:id="44" w:name="_Toc155192803"/>
      <w:bookmarkStart w:id="45" w:name="_Toc202945649"/>
      <w:bookmarkStart w:id="46" w:name="_Toc155193210"/>
      <w:r>
        <w:rPr>
          <w:rFonts w:hint="eastAsia" w:ascii="宋体" w:hAnsi="宋体" w:eastAsia="宋体" w:cs="宋体"/>
          <w:spacing w:val="6"/>
          <w:sz w:val="24"/>
          <w:szCs w:val="24"/>
          <w:highlight w:val="none"/>
        </w:rPr>
        <w:t>1、北京科学技术出版社《资产评估常用数据及参考手册》(第二版)</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2、机械工业出版社《机电产品报价手册》</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3、机械工业信息研究院《机电设备评估价格信息》</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4、中国统计出版社《全国固定资产价值重（评）估系数标准目录》</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5、《机动车强制报废标准规定》（商务部、发改委、公安部、环境保护部令 2012年第12号）</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6、现场勘查记录</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7、市场询价记录</w:t>
      </w:r>
    </w:p>
    <w:p>
      <w:pPr>
        <w:tabs>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8、评估人员根据需要搜集的评估资料</w:t>
      </w:r>
    </w:p>
    <w:p>
      <w:pPr>
        <w:numPr>
          <w:ilvl w:val="0"/>
          <w:numId w:val="4"/>
        </w:numPr>
        <w:tabs>
          <w:tab w:val="left" w:pos="1418"/>
        </w:tabs>
        <w:adjustRightInd w:val="0"/>
        <w:snapToGrid w:val="0"/>
        <w:spacing w:line="520" w:lineRule="exact"/>
        <w:ind w:left="0" w:firstLine="504" w:firstLineChars="200"/>
        <w:rPr>
          <w:rFonts w:ascii="Calibri" w:hAnsi="Calibri" w:cs="Calibri"/>
          <w:spacing w:val="6"/>
          <w:sz w:val="24"/>
          <w:szCs w:val="24"/>
          <w:highlight w:val="none"/>
        </w:rPr>
      </w:pPr>
      <w:r>
        <w:rPr>
          <w:rFonts w:hint="eastAsia" w:ascii="Calibri" w:hAnsi="Calibri" w:cs="Calibri"/>
          <w:spacing w:val="6"/>
          <w:sz w:val="24"/>
          <w:szCs w:val="24"/>
          <w:highlight w:val="none"/>
        </w:rPr>
        <w:t>其他依据</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1、桓台县人民法院提供的相关资料</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2、车辆行驶证复印件</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47" w:name="_Toc25630"/>
      <w:r>
        <w:rPr>
          <w:rFonts w:ascii="Calibri" w:hAnsi="Calibri" w:eastAsia="宋体" w:cs="Calibri"/>
          <w:spacing w:val="6"/>
          <w:sz w:val="24"/>
          <w:szCs w:val="24"/>
          <w:highlight w:val="none"/>
        </w:rPr>
        <w:t>评估方法</w:t>
      </w:r>
      <w:bookmarkEnd w:id="40"/>
      <w:bookmarkEnd w:id="41"/>
      <w:bookmarkEnd w:id="42"/>
      <w:bookmarkEnd w:id="43"/>
      <w:bookmarkEnd w:id="44"/>
      <w:bookmarkEnd w:id="45"/>
      <w:bookmarkEnd w:id="46"/>
      <w:bookmarkEnd w:id="47"/>
    </w:p>
    <w:p>
      <w:pPr>
        <w:adjustRightInd w:val="0"/>
        <w:snapToGrid w:val="0"/>
        <w:spacing w:line="520" w:lineRule="exact"/>
        <w:ind w:firstLine="504" w:firstLineChars="200"/>
        <w:rPr>
          <w:rFonts w:ascii="宋体" w:hAnsi="宋体" w:eastAsia="宋体" w:cs="宋体"/>
          <w:spacing w:val="6"/>
          <w:sz w:val="24"/>
          <w:szCs w:val="24"/>
          <w:highlight w:val="none"/>
        </w:rPr>
      </w:pPr>
      <w:bookmarkStart w:id="48" w:name="_Toc202933358"/>
      <w:bookmarkEnd w:id="48"/>
      <w:bookmarkStart w:id="49" w:name="_Toc202944090"/>
      <w:bookmarkEnd w:id="49"/>
      <w:bookmarkStart w:id="50" w:name="_Toc202944014"/>
      <w:bookmarkEnd w:id="50"/>
      <w:bookmarkStart w:id="51" w:name="_Toc202944216"/>
      <w:bookmarkEnd w:id="51"/>
      <w:bookmarkStart w:id="52" w:name="_Toc202934370"/>
      <w:bookmarkEnd w:id="52"/>
      <w:bookmarkStart w:id="53" w:name="_Toc202934267"/>
      <w:bookmarkEnd w:id="53"/>
      <w:bookmarkStart w:id="54" w:name="_Toc202934137"/>
      <w:bookmarkEnd w:id="54"/>
      <w:bookmarkStart w:id="55" w:name="_Toc202944964"/>
      <w:bookmarkEnd w:id="55"/>
      <w:bookmarkStart w:id="56" w:name="_Toc202944599"/>
      <w:bookmarkEnd w:id="56"/>
      <w:bookmarkStart w:id="57" w:name="_Toc155192160"/>
      <w:bookmarkStart w:id="58" w:name="_Toc155191923"/>
      <w:bookmarkStart w:id="59" w:name="_Toc155193214"/>
      <w:bookmarkStart w:id="60" w:name="_Toc155192259"/>
      <w:bookmarkStart w:id="61" w:name="_Toc202945650"/>
      <w:bookmarkStart w:id="62" w:name="_Toc155192807"/>
      <w:bookmarkStart w:id="63" w:name="_Toc155192690"/>
      <w:r>
        <w:rPr>
          <w:rFonts w:hint="eastAsia" w:ascii="宋体" w:hAnsi="宋体" w:eastAsia="宋体" w:cs="宋体"/>
          <w:spacing w:val="6"/>
          <w:sz w:val="24"/>
          <w:szCs w:val="24"/>
          <w:highlight w:val="none"/>
        </w:rPr>
        <w:t>根据资产评估准则的相关规定，资产评估基本方法包括市场法、成本法、收益法。市场法是指利用市场上同样或类似资产的近期交易价格，经过直接比较或类比分析以估测资产价值的各种评估技术方法的总称。成本法是指首先估测被评估资产的重置成本，然后估测被评估资产业已存在的各种贬损因素，并将其从重置成本中予以扣除而得到被评估资产价值的各种评估方法的总称。收益法是指通过估测被评估资产未来预期收益的现值来判断资产价值的各种评估方法的总称。</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因委估资产没有独立获利能力所以不能采用收益法进行评估；同时考虑本次评估特定目的、价值类型以及委估车辆自身特点成本法亦不适用，综上，本次评估采用市场法进行估价。</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市场法是</w:t>
      </w:r>
      <w:r>
        <w:rPr>
          <w:rFonts w:ascii="宋体" w:hAnsi="宋体" w:eastAsia="宋体" w:cs="宋体"/>
          <w:spacing w:val="6"/>
          <w:sz w:val="24"/>
          <w:szCs w:val="24"/>
          <w:highlight w:val="none"/>
        </w:rPr>
        <w:t>在近期二手车交易市场中选择与估价对象处于同一供求范围内，具有较强相关性、替代性的汽车交易实例，根据估价对象和可比实例的状况，对影响二手车市场价格的因素进行分析比较和修正，评估出估价对象的市场价格。</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64" w:name="_Toc23833"/>
      <w:r>
        <w:rPr>
          <w:rFonts w:ascii="Calibri" w:hAnsi="Calibri" w:eastAsia="宋体" w:cs="Calibri"/>
          <w:spacing w:val="6"/>
          <w:sz w:val="24"/>
          <w:szCs w:val="24"/>
          <w:highlight w:val="none"/>
        </w:rPr>
        <w:t>评估程序实施过程</w:t>
      </w:r>
      <w:bookmarkEnd w:id="57"/>
      <w:bookmarkEnd w:id="58"/>
      <w:bookmarkEnd w:id="59"/>
      <w:bookmarkEnd w:id="60"/>
      <w:bookmarkEnd w:id="61"/>
      <w:bookmarkEnd w:id="62"/>
      <w:bookmarkEnd w:id="63"/>
      <w:r>
        <w:rPr>
          <w:rFonts w:ascii="Calibri" w:hAnsi="Calibri" w:eastAsia="宋体" w:cs="Calibri"/>
          <w:spacing w:val="6"/>
          <w:sz w:val="24"/>
          <w:szCs w:val="24"/>
          <w:highlight w:val="none"/>
        </w:rPr>
        <w:t>和情况</w:t>
      </w:r>
      <w:bookmarkEnd w:id="64"/>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山东国润恒丰土地房地产评估有限公司接受</w:t>
      </w:r>
      <w:r>
        <w:rPr>
          <w:rFonts w:hint="eastAsia" w:ascii="宋体" w:hAnsi="宋体" w:eastAsia="宋体" w:cs="宋体"/>
          <w:spacing w:val="6"/>
          <w:sz w:val="24"/>
          <w:szCs w:val="24"/>
          <w:highlight w:val="none"/>
          <w:lang w:eastAsia="zh-CN"/>
        </w:rPr>
        <w:t>桓台县人民法院</w:t>
      </w:r>
      <w:r>
        <w:rPr>
          <w:rFonts w:hint="eastAsia" w:ascii="宋体" w:hAnsi="宋体" w:eastAsia="宋体" w:cs="宋体"/>
          <w:spacing w:val="6"/>
          <w:sz w:val="24"/>
          <w:szCs w:val="24"/>
          <w:highlight w:val="none"/>
        </w:rPr>
        <w:t>的委托，对涉案车辆进行评估，评估基准日定于</w:t>
      </w:r>
      <w:r>
        <w:rPr>
          <w:rFonts w:hint="eastAsia" w:ascii="宋体" w:hAnsi="宋体" w:eastAsia="宋体" w:cs="宋体"/>
          <w:spacing w:val="6"/>
          <w:sz w:val="24"/>
          <w:szCs w:val="24"/>
          <w:highlight w:val="none"/>
          <w:lang w:eastAsia="zh-CN"/>
        </w:rPr>
        <w:t>2023年12月26日</w:t>
      </w:r>
      <w:r>
        <w:rPr>
          <w:rFonts w:hint="eastAsia" w:ascii="宋体" w:hAnsi="宋体" w:eastAsia="宋体" w:cs="宋体"/>
          <w:spacing w:val="6"/>
          <w:sz w:val="24"/>
          <w:szCs w:val="24"/>
          <w:highlight w:val="none"/>
        </w:rPr>
        <w:t>。</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整个评估基本程序包括：接受评估委托；明确业务基本事项；编制资产评估计划；进行评估现场调查；收集整理评估资料；评定估算形成评估结论；编制出具资产评估报告；整理归集评估档案等。主要评估程序实施过程如下：</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(一)接受评估委托、评估前期准备工作阶段</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了解拟承接业务涉及的资产的基本情况，明确评估目的、评估对象及评估范围；</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(二)拟定评估方案</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针对本项目资产数量及分布等情况、为了保证质量、统一评估方法和参数。</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(三)组建评估队伍</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接受委托后，我公司成立了资产评估工作领导小组，确定了该项目的总负责人及现场负责人，并按资产专业类型安排评估人员。</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(四)资产清查</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1、初步审查相关资料。</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2、现场实地勘察，在现场勘察过程中通过与相关人员的广泛的交流，了解资产的相关情况。</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3、根据现场实地勘察结果，进一步完善资产评估明细表，以做到“表”“实”相符。</w:t>
      </w:r>
    </w:p>
    <w:p>
      <w:pPr>
        <w:adjustRightInd w:val="0"/>
        <w:snapToGrid w:val="0"/>
        <w:spacing w:line="520" w:lineRule="exact"/>
        <w:ind w:firstLine="504" w:firstLineChars="200"/>
        <w:rPr>
          <w:rFonts w:ascii="宋体" w:hAnsi="宋体" w:eastAsia="宋体" w:cs="宋体"/>
          <w:spacing w:val="6"/>
          <w:sz w:val="24"/>
          <w:szCs w:val="24"/>
          <w:highlight w:val="none"/>
        </w:rPr>
      </w:pPr>
      <w:bookmarkStart w:id="65" w:name="_Toc209947354"/>
      <w:r>
        <w:rPr>
          <w:rFonts w:hint="eastAsia" w:ascii="宋体" w:hAnsi="宋体" w:eastAsia="宋体" w:cs="宋体"/>
          <w:spacing w:val="6"/>
          <w:sz w:val="24"/>
          <w:szCs w:val="24"/>
          <w:highlight w:val="none"/>
        </w:rPr>
        <w:t>（五）根据评估目的及委估资产所具备的条件，确定评估方法；</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（六）进行市场调查，收集相关资料，对评估对象进行评定估算；</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（七）核定修正评估值，编制填写有关评估表格；</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（八）归纳整理评估资料，撰写各项评估技术说明及资产评估报告；</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（九）对评估结论进行分析、复核、签发资产评估报告；</w:t>
      </w:r>
    </w:p>
    <w:p>
      <w:pPr>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（十）整理装订评估工作底稿并归档。</w:t>
      </w:r>
    </w:p>
    <w:p>
      <w:pPr>
        <w:pStyle w:val="4"/>
        <w:numPr>
          <w:ilvl w:val="0"/>
          <w:numId w:val="2"/>
        </w:numPr>
        <w:adjustRightInd w:val="0"/>
        <w:snapToGrid w:val="0"/>
        <w:spacing w:before="0" w:after="0" w:line="520" w:lineRule="exact"/>
        <w:ind w:left="0" w:firstLine="506" w:firstLineChars="200"/>
        <w:rPr>
          <w:rFonts w:ascii="宋体" w:hAnsi="宋体" w:eastAsia="宋体" w:cs="宋体"/>
          <w:spacing w:val="6"/>
          <w:sz w:val="24"/>
          <w:szCs w:val="24"/>
          <w:highlight w:val="none"/>
        </w:rPr>
      </w:pPr>
      <w:bookmarkStart w:id="66" w:name="_Toc20449"/>
      <w:r>
        <w:rPr>
          <w:rFonts w:hint="eastAsia" w:ascii="宋体" w:hAnsi="宋体" w:eastAsia="宋体" w:cs="宋体"/>
          <w:spacing w:val="6"/>
          <w:sz w:val="24"/>
          <w:szCs w:val="24"/>
          <w:highlight w:val="none"/>
        </w:rPr>
        <w:t>评估假设</w:t>
      </w:r>
      <w:bookmarkEnd w:id="65"/>
      <w:bookmarkEnd w:id="66"/>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依据有限事实，通过一系列推理，对研究的事物做出合乎逻辑的假定说明就叫假设。评估假设本质上是评估条件的某种抽象。任何评估结论都是建立在一定假设条件下的，离开这些假设条件，评估结论可能就不成立。评估结论同样也会受到一些限制条件的影响，如果不考虑这些限制条件，就可能导致对评估结论的错误理解和使用。</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本评估报告中的分析、判断和评估结论仅在本评估报告设定的评估假设和限制条件下成立。本评估报告成立的假设条件是：</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 xml:space="preserve">1.本次评估以委托人及产权持有人所有经济行为真实、合法，且不存在隐瞒、虚报情况为假设条件；    </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2.假设国家宏观经济环境和市场环境不产生大的变更，所遵循的国家现行法律、法规、制度及社会政治和经济政策与现时无重大变化；在评估结果有效期间若国家政策发生重大变化，一般会影响评估结果； </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3．估价对象车辆车况良好、维护保养情况良好，表显里程为24883KM。经估价人员实地勘察，估价对象在评估基准日因电瓶处于亏电状态，无法正常启动，在评估基准日假设该车辆可以继续正常营运使用。</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当上述假定条件以及评估中所遵循的原则等其他情况发生变化时，评估结果一般会失效。</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评估专业人员根据资产评估的要求，认定这些假设前提条件在评估基准日时成立，当未来经济环境发生较大变化和前提条件改变时，评估专业人员将不承担由于前提条件改变而推导出不同评估结论的责任。</w:t>
      </w:r>
    </w:p>
    <w:p>
      <w:pPr>
        <w:pStyle w:val="4"/>
        <w:numPr>
          <w:ilvl w:val="0"/>
          <w:numId w:val="2"/>
        </w:numPr>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67" w:name="_Toc13967"/>
      <w:r>
        <w:rPr>
          <w:rFonts w:ascii="Calibri" w:hAnsi="Calibri" w:eastAsia="宋体" w:cs="Calibri"/>
          <w:spacing w:val="6"/>
          <w:sz w:val="24"/>
          <w:szCs w:val="24"/>
          <w:highlight w:val="none"/>
        </w:rPr>
        <w:t>评估结论</w:t>
      </w:r>
      <w:bookmarkEnd w:id="67"/>
    </w:p>
    <w:p>
      <w:pPr>
        <w:pStyle w:val="6"/>
        <w:spacing w:line="520" w:lineRule="exact"/>
        <w:ind w:firstLine="506" w:firstLineChars="200"/>
        <w:rPr>
          <w:rFonts w:ascii="宋体" w:hAnsi="宋体" w:eastAsia="宋体" w:cs="宋体"/>
          <w:b/>
          <w:bCs/>
          <w:spacing w:val="6"/>
          <w:kern w:val="2"/>
          <w:szCs w:val="24"/>
          <w:highlight w:val="none"/>
        </w:rPr>
      </w:pPr>
      <w:r>
        <w:rPr>
          <w:rFonts w:hint="eastAsia" w:ascii="宋体" w:hAnsi="宋体" w:eastAsia="宋体" w:cs="宋体"/>
          <w:b/>
          <w:bCs/>
          <w:spacing w:val="6"/>
          <w:kern w:val="2"/>
          <w:szCs w:val="24"/>
          <w:highlight w:val="none"/>
        </w:rPr>
        <w:t>经评估，在评估基准日</w:t>
      </w:r>
      <w:r>
        <w:rPr>
          <w:rFonts w:hint="eastAsia" w:ascii="宋体" w:hAnsi="宋体" w:eastAsia="宋体" w:cs="宋体"/>
          <w:b/>
          <w:bCs/>
          <w:spacing w:val="6"/>
          <w:kern w:val="2"/>
          <w:szCs w:val="24"/>
          <w:highlight w:val="none"/>
          <w:lang w:eastAsia="zh-CN"/>
        </w:rPr>
        <w:t>2023年12月26日</w:t>
      </w:r>
      <w:r>
        <w:rPr>
          <w:rFonts w:hint="eastAsia" w:ascii="宋体" w:hAnsi="宋体" w:eastAsia="宋体" w:cs="宋体"/>
          <w:b/>
          <w:bCs/>
          <w:spacing w:val="6"/>
          <w:kern w:val="2"/>
          <w:szCs w:val="24"/>
          <w:highlight w:val="none"/>
        </w:rPr>
        <w:t xml:space="preserve">，桓台县人民法院拟资产处置涉及的部分资产评估值¥ </w:t>
      </w:r>
      <w:r>
        <w:rPr>
          <w:rFonts w:hint="eastAsia" w:ascii="宋体" w:hAnsi="宋体" w:eastAsia="宋体" w:cs="宋体"/>
          <w:b/>
          <w:bCs/>
          <w:spacing w:val="6"/>
          <w:kern w:val="2"/>
          <w:szCs w:val="24"/>
          <w:highlight w:val="none"/>
          <w:lang w:eastAsia="zh-CN"/>
        </w:rPr>
        <w:t>184,300.00</w:t>
      </w:r>
      <w:r>
        <w:rPr>
          <w:rFonts w:hint="eastAsia" w:ascii="宋体" w:hAnsi="宋体" w:eastAsia="宋体" w:cs="宋体"/>
          <w:b/>
          <w:bCs/>
          <w:spacing w:val="6"/>
          <w:kern w:val="2"/>
          <w:szCs w:val="24"/>
          <w:highlight w:val="none"/>
        </w:rPr>
        <w:t>元，大写金额：人民币</w:t>
      </w:r>
      <w:r>
        <w:rPr>
          <w:rFonts w:hint="eastAsia" w:ascii="宋体" w:hAnsi="宋体" w:eastAsia="宋体" w:cs="宋体"/>
          <w:b/>
          <w:bCs/>
          <w:spacing w:val="6"/>
          <w:kern w:val="2"/>
          <w:szCs w:val="24"/>
          <w:highlight w:val="none"/>
          <w:lang w:eastAsia="zh-CN"/>
        </w:rPr>
        <w:t>壹拾捌万肆仟叁佰元整</w:t>
      </w:r>
      <w:r>
        <w:rPr>
          <w:rFonts w:hint="eastAsia" w:ascii="宋体" w:hAnsi="宋体" w:eastAsia="宋体" w:cs="宋体"/>
          <w:b/>
          <w:bCs/>
          <w:spacing w:val="6"/>
          <w:kern w:val="2"/>
          <w:szCs w:val="24"/>
          <w:highlight w:val="none"/>
        </w:rPr>
        <w:t>。具体如下表：</w:t>
      </w:r>
    </w:p>
    <w:p>
      <w:pPr>
        <w:spacing w:beforeLines="50"/>
        <w:ind w:left="3124"/>
        <w:rPr>
          <w:rFonts w:ascii="宋体" w:hAnsi="宋体" w:eastAsia="宋体" w:cs="宋体"/>
          <w:sz w:val="24"/>
          <w:szCs w:val="24"/>
          <w:highlight w:val="none"/>
        </w:rPr>
      </w:pPr>
      <w:r>
        <w:rPr>
          <w:rFonts w:hint="eastAsia" w:ascii="宋体" w:hAnsi="宋体" w:eastAsia="宋体" w:cs="宋体"/>
          <w:spacing w:val="-4"/>
          <w:sz w:val="24"/>
          <w:szCs w:val="24"/>
          <w:highlight w:val="none"/>
        </w:rPr>
        <w:t>资</w:t>
      </w:r>
      <w:r>
        <w:rPr>
          <w:rFonts w:hint="eastAsia" w:ascii="宋体" w:hAnsi="宋体" w:eastAsia="宋体" w:cs="宋体"/>
          <w:spacing w:val="-2"/>
          <w:sz w:val="24"/>
          <w:szCs w:val="24"/>
          <w:highlight w:val="none"/>
        </w:rPr>
        <w:t>产评估结果汇总表</w:t>
      </w:r>
    </w:p>
    <w:p>
      <w:pPr>
        <w:spacing w:before="68" w:line="212" w:lineRule="auto"/>
        <w:jc w:val="center"/>
        <w:rPr>
          <w:rFonts w:ascii="宋体" w:hAnsi="宋体" w:eastAsia="宋体" w:cs="宋体"/>
          <w:szCs w:val="22"/>
          <w:highlight w:val="none"/>
        </w:rPr>
      </w:pPr>
      <w:r>
        <w:rPr>
          <w:rFonts w:hint="eastAsia" w:ascii="宋体" w:hAnsi="宋体" w:eastAsia="宋体" w:cs="宋体"/>
          <w:szCs w:val="22"/>
          <w:highlight w:val="none"/>
        </w:rPr>
        <w:t xml:space="preserve">                                                         金额单位：人民币元</w:t>
      </w:r>
    </w:p>
    <w:tbl>
      <w:tblPr>
        <w:tblStyle w:val="57"/>
        <w:tblW w:w="87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4"/>
        <w:gridCol w:w="1752"/>
        <w:gridCol w:w="1561"/>
        <w:gridCol w:w="188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194" w:type="dxa"/>
            <w:tcBorders>
              <w:left w:val="single" w:color="000000" w:sz="10" w:space="0"/>
              <w:bottom w:val="single" w:color="auto"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2"/>
                <w:szCs w:val="21"/>
                <w:highlight w:val="none"/>
              </w:rPr>
              <w:t>项目</w:t>
            </w:r>
          </w:p>
        </w:tc>
        <w:tc>
          <w:tcPr>
            <w:tcW w:w="1752" w:type="dxa"/>
            <w:tcBorders>
              <w:left w:val="single" w:color="000000" w:sz="4" w:space="0"/>
              <w:bottom w:val="single" w:color="auto"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1"/>
                <w:szCs w:val="21"/>
                <w:highlight w:val="none"/>
              </w:rPr>
              <w:t>账面价值</w:t>
            </w:r>
          </w:p>
        </w:tc>
        <w:tc>
          <w:tcPr>
            <w:tcW w:w="1561" w:type="dxa"/>
            <w:tcBorders>
              <w:left w:val="single" w:color="000000"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1"/>
                <w:szCs w:val="21"/>
                <w:highlight w:val="none"/>
              </w:rPr>
              <w:t>评估</w:t>
            </w:r>
            <w:r>
              <w:rPr>
                <w:rFonts w:hint="eastAsia" w:ascii="宋体" w:hAnsi="宋体" w:eastAsia="宋体" w:cs="宋体"/>
                <w:b/>
                <w:bCs/>
                <w:spacing w:val="-1"/>
                <w:szCs w:val="21"/>
                <w:highlight w:val="none"/>
              </w:rPr>
              <w:t>原值</w:t>
            </w:r>
          </w:p>
        </w:tc>
        <w:tc>
          <w:tcPr>
            <w:tcW w:w="1889" w:type="dxa"/>
            <w:tcBorders>
              <w:left w:val="single" w:color="000000" w:sz="4" w:space="0"/>
              <w:right w:val="single" w:color="000000" w:sz="4" w:space="0"/>
            </w:tcBorders>
            <w:vAlign w:val="center"/>
          </w:tcPr>
          <w:p>
            <w:pPr>
              <w:spacing w:line="440" w:lineRule="exact"/>
              <w:jc w:val="center"/>
              <w:rPr>
                <w:rFonts w:ascii="宋体" w:hAnsi="宋体" w:eastAsia="宋体" w:cs="宋体"/>
                <w:b/>
                <w:bCs/>
                <w:szCs w:val="21"/>
                <w:highlight w:val="none"/>
              </w:rPr>
            </w:pPr>
            <w:r>
              <w:rPr>
                <w:rFonts w:hint="eastAsia" w:ascii="宋体" w:hAnsi="宋体" w:eastAsia="宋体" w:cs="宋体"/>
                <w:b/>
                <w:bCs/>
                <w:spacing w:val="-2"/>
                <w:szCs w:val="21"/>
                <w:highlight w:val="none"/>
              </w:rPr>
              <w:t>评估价值</w:t>
            </w:r>
          </w:p>
        </w:tc>
        <w:tc>
          <w:tcPr>
            <w:tcW w:w="1309" w:type="dxa"/>
            <w:tcBorders>
              <w:left w:val="single" w:color="000000" w:sz="4" w:space="0"/>
              <w:right w:val="single" w:color="000000" w:sz="10" w:space="0"/>
            </w:tcBorders>
            <w:vAlign w:val="center"/>
          </w:tcPr>
          <w:p>
            <w:pPr>
              <w:spacing w:line="440" w:lineRule="exact"/>
              <w:jc w:val="center"/>
              <w:rPr>
                <w:rFonts w:ascii="Arial Narrow" w:hAnsi="Arial Narrow" w:eastAsia="宋体" w:cs="Arial Narrow"/>
                <w:b/>
                <w:bCs/>
                <w:szCs w:val="21"/>
                <w:highlight w:val="none"/>
              </w:rPr>
            </w:pPr>
            <w:r>
              <w:rPr>
                <w:rFonts w:hint="eastAsia" w:ascii="Arial Narrow" w:hAnsi="Arial Narrow" w:eastAsia="宋体" w:cs="Arial Narrow"/>
                <w:b/>
                <w:bCs/>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194" w:type="dxa"/>
            <w:tcBorders>
              <w:left w:val="single" w:color="000000" w:sz="10" w:space="0"/>
              <w:right w:val="single" w:color="000000" w:sz="4" w:space="0"/>
            </w:tcBorders>
            <w:vAlign w:val="center"/>
          </w:tcPr>
          <w:p>
            <w:pPr>
              <w:spacing w:line="440" w:lineRule="exact"/>
              <w:jc w:val="center"/>
              <w:rPr>
                <w:rFonts w:ascii="宋体" w:hAnsi="宋体" w:eastAsia="宋体" w:cs="宋体"/>
                <w:szCs w:val="21"/>
                <w:highlight w:val="none"/>
              </w:rPr>
            </w:pPr>
            <w:r>
              <w:rPr>
                <w:highlight w:val="none"/>
              </w:rPr>
              <w:fldChar w:fldCharType="begin"/>
            </w:r>
            <w:r>
              <w:rPr>
                <w:highlight w:val="none"/>
              </w:rPr>
              <w:instrText xml:space="preserve"> HYPERLINK "file:///C:\\Documents%20and%20Settings\\lv0820\\Application%20Data\\SogouExplorer\\Download\\2011-12-31ֽϸ(Ժ).xls%23豸!@@" </w:instrText>
            </w:r>
            <w:r>
              <w:rPr>
                <w:highlight w:val="none"/>
              </w:rPr>
              <w:fldChar w:fldCharType="separate"/>
            </w:r>
            <w:r>
              <w:rPr>
                <w:rFonts w:ascii="宋体" w:hAnsi="宋体" w:eastAsia="宋体" w:cs="宋体"/>
                <w:spacing w:val="-4"/>
                <w:szCs w:val="21"/>
                <w:highlight w:val="none"/>
              </w:rPr>
              <w:t>固定资</w:t>
            </w:r>
            <w:r>
              <w:rPr>
                <w:rFonts w:ascii="宋体" w:hAnsi="宋体" w:eastAsia="宋体" w:cs="宋体"/>
                <w:spacing w:val="-2"/>
                <w:szCs w:val="21"/>
                <w:highlight w:val="none"/>
              </w:rPr>
              <w:t>产</w:t>
            </w:r>
            <w:r>
              <w:rPr>
                <w:rFonts w:eastAsia="Times New Roman"/>
                <w:spacing w:val="-2"/>
                <w:szCs w:val="21"/>
                <w:highlight w:val="none"/>
              </w:rPr>
              <w:t>-</w:t>
            </w:r>
            <w:r>
              <w:rPr>
                <w:rFonts w:hint="eastAsia" w:ascii="宋体" w:hAnsi="宋体" w:eastAsia="宋体" w:cs="宋体"/>
                <w:spacing w:val="-2"/>
                <w:szCs w:val="21"/>
                <w:highlight w:val="none"/>
              </w:rPr>
              <w:t>车辆</w:t>
            </w:r>
            <w:r>
              <w:rPr>
                <w:rFonts w:hint="eastAsia" w:ascii="宋体" w:hAnsi="宋体" w:eastAsia="宋体" w:cs="宋体"/>
                <w:spacing w:val="-2"/>
                <w:szCs w:val="21"/>
                <w:highlight w:val="none"/>
              </w:rPr>
              <w:fldChar w:fldCharType="end"/>
            </w:r>
          </w:p>
        </w:tc>
        <w:tc>
          <w:tcPr>
            <w:tcW w:w="1752" w:type="dxa"/>
            <w:tcBorders>
              <w:left w:val="single" w:color="000000" w:sz="4" w:space="0"/>
              <w:right w:val="single" w:color="000000" w:sz="4" w:space="0"/>
            </w:tcBorders>
            <w:vAlign w:val="center"/>
          </w:tcPr>
          <w:p>
            <w:pPr>
              <w:spacing w:line="440" w:lineRule="exact"/>
              <w:jc w:val="center"/>
              <w:rPr>
                <w:rFonts w:eastAsia="宋体"/>
                <w:spacing w:val="5"/>
                <w:sz w:val="19"/>
                <w:szCs w:val="19"/>
                <w:highlight w:val="none"/>
              </w:rPr>
            </w:pPr>
          </w:p>
        </w:tc>
        <w:tc>
          <w:tcPr>
            <w:tcW w:w="1561" w:type="dxa"/>
            <w:tcBorders>
              <w:left w:val="single" w:color="000000" w:sz="4" w:space="0"/>
              <w:right w:val="single" w:color="000000" w:sz="4" w:space="0"/>
            </w:tcBorders>
            <w:vAlign w:val="center"/>
          </w:tcPr>
          <w:p>
            <w:pPr>
              <w:spacing w:line="440" w:lineRule="exact"/>
              <w:jc w:val="center"/>
              <w:rPr>
                <w:rFonts w:eastAsia="宋体"/>
                <w:spacing w:val="5"/>
                <w:sz w:val="19"/>
                <w:szCs w:val="19"/>
                <w:highlight w:val="none"/>
              </w:rPr>
            </w:pPr>
          </w:p>
        </w:tc>
        <w:tc>
          <w:tcPr>
            <w:tcW w:w="1889" w:type="dxa"/>
            <w:tcBorders>
              <w:left w:val="single" w:color="000000" w:sz="4" w:space="0"/>
              <w:right w:val="single" w:color="000000" w:sz="4" w:space="0"/>
            </w:tcBorders>
            <w:vAlign w:val="center"/>
          </w:tcPr>
          <w:p>
            <w:pPr>
              <w:spacing w:line="440" w:lineRule="exact"/>
              <w:jc w:val="center"/>
              <w:rPr>
                <w:rFonts w:hint="eastAsia" w:eastAsia="宋体"/>
                <w:spacing w:val="5"/>
                <w:sz w:val="19"/>
                <w:szCs w:val="19"/>
                <w:highlight w:val="none"/>
                <w:lang w:eastAsia="zh-CN"/>
              </w:rPr>
            </w:pPr>
            <w:r>
              <w:rPr>
                <w:rFonts w:hint="eastAsia" w:eastAsia="宋体"/>
                <w:spacing w:val="5"/>
                <w:sz w:val="19"/>
                <w:szCs w:val="19"/>
                <w:highlight w:val="none"/>
              </w:rPr>
              <w:t xml:space="preserve"> </w:t>
            </w:r>
            <w:r>
              <w:rPr>
                <w:rFonts w:hint="eastAsia" w:eastAsia="宋体"/>
                <w:spacing w:val="5"/>
                <w:sz w:val="19"/>
                <w:szCs w:val="19"/>
                <w:highlight w:val="none"/>
                <w:lang w:eastAsia="zh-CN"/>
              </w:rPr>
              <w:t>184,300.00</w:t>
            </w:r>
          </w:p>
        </w:tc>
        <w:tc>
          <w:tcPr>
            <w:tcW w:w="1309" w:type="dxa"/>
            <w:tcBorders>
              <w:left w:val="single" w:color="000000" w:sz="4" w:space="0"/>
              <w:right w:val="single" w:color="000000" w:sz="10" w:space="0"/>
            </w:tcBorders>
            <w:vAlign w:val="center"/>
          </w:tcPr>
          <w:p>
            <w:pPr>
              <w:spacing w:line="440" w:lineRule="exact"/>
              <w:ind w:left="411"/>
              <w:jc w:val="center"/>
              <w:rPr>
                <w:rFonts w:eastAsia="宋体"/>
                <w:spacing w:val="5"/>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2194" w:type="dxa"/>
            <w:tcBorders>
              <w:left w:val="single" w:color="000000" w:sz="10" w:space="0"/>
              <w:right w:val="single" w:color="000000" w:sz="4" w:space="0"/>
            </w:tcBorders>
            <w:vAlign w:val="center"/>
          </w:tcPr>
          <w:p>
            <w:pPr>
              <w:spacing w:line="440" w:lineRule="exact"/>
              <w:jc w:val="center"/>
              <w:rPr>
                <w:rFonts w:ascii="宋体" w:hAnsi="宋体" w:eastAsia="宋体" w:cs="宋体"/>
                <w:b/>
                <w:bCs/>
                <w:szCs w:val="21"/>
                <w:highlight w:val="none"/>
              </w:rPr>
            </w:pPr>
            <w:r>
              <w:rPr>
                <w:rFonts w:ascii="宋体" w:hAnsi="宋体" w:eastAsia="宋体" w:cs="宋体"/>
                <w:b/>
                <w:bCs/>
                <w:spacing w:val="-4"/>
                <w:szCs w:val="21"/>
                <w:highlight w:val="none"/>
              </w:rPr>
              <w:t>资</w:t>
            </w:r>
            <w:r>
              <w:rPr>
                <w:rFonts w:ascii="宋体" w:hAnsi="宋体" w:eastAsia="宋体" w:cs="宋体"/>
                <w:b/>
                <w:bCs/>
                <w:spacing w:val="-3"/>
                <w:szCs w:val="21"/>
                <w:highlight w:val="none"/>
              </w:rPr>
              <w:t>产总计</w:t>
            </w:r>
          </w:p>
        </w:tc>
        <w:tc>
          <w:tcPr>
            <w:tcW w:w="1752" w:type="dxa"/>
            <w:tcBorders>
              <w:left w:val="single" w:color="000000" w:sz="4" w:space="0"/>
              <w:right w:val="single" w:color="000000" w:sz="4" w:space="0"/>
            </w:tcBorders>
            <w:vAlign w:val="center"/>
          </w:tcPr>
          <w:p>
            <w:pPr>
              <w:spacing w:line="440" w:lineRule="exact"/>
              <w:jc w:val="center"/>
              <w:rPr>
                <w:rFonts w:eastAsia="宋体"/>
                <w:b/>
                <w:bCs/>
                <w:spacing w:val="5"/>
                <w:sz w:val="19"/>
                <w:szCs w:val="19"/>
                <w:highlight w:val="none"/>
              </w:rPr>
            </w:pPr>
          </w:p>
        </w:tc>
        <w:tc>
          <w:tcPr>
            <w:tcW w:w="1561" w:type="dxa"/>
            <w:tcBorders>
              <w:left w:val="single" w:color="000000" w:sz="4" w:space="0"/>
              <w:right w:val="single" w:color="000000" w:sz="4" w:space="0"/>
            </w:tcBorders>
            <w:vAlign w:val="center"/>
          </w:tcPr>
          <w:p>
            <w:pPr>
              <w:spacing w:line="440" w:lineRule="exact"/>
              <w:jc w:val="center"/>
              <w:rPr>
                <w:rFonts w:eastAsia="宋体"/>
                <w:b/>
                <w:bCs/>
                <w:spacing w:val="5"/>
                <w:sz w:val="19"/>
                <w:szCs w:val="19"/>
                <w:highlight w:val="none"/>
              </w:rPr>
            </w:pPr>
          </w:p>
        </w:tc>
        <w:tc>
          <w:tcPr>
            <w:tcW w:w="1889" w:type="dxa"/>
            <w:tcBorders>
              <w:left w:val="single" w:color="000000" w:sz="4" w:space="0"/>
              <w:right w:val="single" w:color="000000" w:sz="4" w:space="0"/>
            </w:tcBorders>
            <w:vAlign w:val="center"/>
          </w:tcPr>
          <w:p>
            <w:pPr>
              <w:spacing w:line="440" w:lineRule="exact"/>
              <w:jc w:val="center"/>
              <w:rPr>
                <w:rFonts w:hint="eastAsia" w:eastAsia="宋体"/>
                <w:b/>
                <w:bCs/>
                <w:spacing w:val="5"/>
                <w:sz w:val="19"/>
                <w:szCs w:val="19"/>
                <w:highlight w:val="none"/>
                <w:lang w:eastAsia="zh-CN"/>
              </w:rPr>
            </w:pPr>
            <w:r>
              <w:rPr>
                <w:rFonts w:hint="eastAsia" w:eastAsia="宋体"/>
                <w:b/>
                <w:bCs/>
                <w:spacing w:val="5"/>
                <w:sz w:val="19"/>
                <w:szCs w:val="19"/>
                <w:highlight w:val="none"/>
              </w:rPr>
              <w:t xml:space="preserve"> </w:t>
            </w:r>
            <w:r>
              <w:rPr>
                <w:rFonts w:hint="eastAsia" w:eastAsia="宋体"/>
                <w:b/>
                <w:bCs/>
                <w:spacing w:val="5"/>
                <w:sz w:val="19"/>
                <w:szCs w:val="19"/>
                <w:highlight w:val="none"/>
                <w:lang w:eastAsia="zh-CN"/>
              </w:rPr>
              <w:t>184,300.00</w:t>
            </w:r>
          </w:p>
        </w:tc>
        <w:tc>
          <w:tcPr>
            <w:tcW w:w="1309" w:type="dxa"/>
            <w:tcBorders>
              <w:left w:val="single" w:color="000000" w:sz="4" w:space="0"/>
              <w:right w:val="single" w:color="000000" w:sz="10" w:space="0"/>
            </w:tcBorders>
            <w:vAlign w:val="center"/>
          </w:tcPr>
          <w:p>
            <w:pPr>
              <w:spacing w:line="440" w:lineRule="exact"/>
              <w:ind w:left="411"/>
              <w:jc w:val="center"/>
              <w:rPr>
                <w:rFonts w:eastAsia="宋体"/>
                <w:b/>
                <w:bCs/>
                <w:spacing w:val="5"/>
                <w:sz w:val="19"/>
                <w:szCs w:val="19"/>
                <w:highlight w:val="none"/>
              </w:rPr>
            </w:pPr>
          </w:p>
        </w:tc>
      </w:tr>
    </w:tbl>
    <w:p>
      <w:pPr>
        <w:pStyle w:val="6"/>
        <w:spacing w:line="520" w:lineRule="exact"/>
        <w:ind w:firstLine="504" w:firstLineChars="200"/>
        <w:rPr>
          <w:rFonts w:ascii="宋体" w:hAnsi="宋体" w:eastAsia="宋体" w:cs="宋体"/>
          <w:spacing w:val="6"/>
          <w:kern w:val="2"/>
          <w:szCs w:val="24"/>
          <w:highlight w:val="none"/>
        </w:rPr>
      </w:pPr>
      <w:r>
        <w:rPr>
          <w:rFonts w:hint="eastAsia" w:ascii="宋体" w:hAnsi="宋体" w:eastAsia="宋体" w:cs="宋体"/>
          <w:spacing w:val="6"/>
          <w:kern w:val="2"/>
          <w:szCs w:val="24"/>
          <w:highlight w:val="none"/>
        </w:rPr>
        <w:t>（详见评估明细表）</w:t>
      </w:r>
    </w:p>
    <w:p>
      <w:pPr>
        <w:pStyle w:val="4"/>
        <w:numPr>
          <w:ilvl w:val="0"/>
          <w:numId w:val="2"/>
        </w:numPr>
        <w:tabs>
          <w:tab w:val="left" w:pos="993"/>
          <w:tab w:val="left" w:pos="1276"/>
          <w:tab w:val="left" w:pos="1418"/>
        </w:tabs>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68" w:name="_Toc31969"/>
      <w:r>
        <w:rPr>
          <w:rFonts w:ascii="Calibri" w:hAnsi="Calibri" w:eastAsia="宋体" w:cs="Calibri"/>
          <w:spacing w:val="6"/>
          <w:sz w:val="24"/>
          <w:szCs w:val="24"/>
          <w:highlight w:val="none"/>
        </w:rPr>
        <w:t>特别事项说明</w:t>
      </w:r>
      <w:bookmarkEnd w:id="68"/>
    </w:p>
    <w:p>
      <w:pPr>
        <w:tabs>
          <w:tab w:val="left" w:pos="993"/>
          <w:tab w:val="left" w:pos="1276"/>
          <w:tab w:val="left" w:pos="1418"/>
        </w:tabs>
        <w:adjustRightInd w:val="0"/>
        <w:snapToGrid w:val="0"/>
        <w:spacing w:line="52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资产评估报告中陈述的特别事项是指在评估专业人员执行了资产评估程序，根据搜集的资料经过评定估算已确定评估结论的前提下，评估专业人员揭示在评估过程中已发现可能影响评估结论，但非评估专业人员执业水平和能力所能评定估算的有关事项。</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1、评估基准日后的调整事项</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本次评估结果自评估基准日起的一年内使用有效，资产评估报告出具后，资产评估报告有效期内资产数量及作价标准发生变化时，按以下原则进行处理：资产数量发生变化，应按实际发生额进行调整；若资产价格标准发生变化，并对资产评估价值产生明显影响时，委托人应及时聘请评估机构重新确定评估价值。</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2、评估结果有效的其他条件</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本次评估结果是反映评估对象在本次评估目的下确定的市场价值，未考虑国家宏观经济政策发生变化以及遇有自然力和其他不可抗力对资产价格的影响。当评估结果用于国家宏观经济政策发生变化以及遇有自然力和其他不可抗力对资产价格的影响时，本次评估结果失效。</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3、在本次评估中，委托人提供了车辆行驶证复印件，评估人员对原件、复印件进行了必要的核实，因评估对象法律权属对评估结论产生的影响以及由此可能产生的纠纷与评估人员及其所在机构无关。</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4、评估结果是根据评估鉴定资料及现场勘查情况计算得出，本次评估假设委估资产本身不存在较大隐蔽缺陷，否则，一般会影响评估结果。</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5、本次评估为该车辆在评估基准日市场价值估计数额，因该车辆在评估基准日前曾处于闲置状态，本次评估假设该车辆可以继续正常营运使用。</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6、本次评估未考虑委估资产可能存在的抵押、担保等情况对评估价值的影响。</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7、因评估基准日后市场变化以及车辆变现价值估算值与其现实市场变现价值可能存在一定差异且评估时未考虑将来变现过程中可能发生的税费等因素对评估价值的影响，因此，本次对该车辆价值的评估意见仅供参考。</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8、对委托人存在的可能影响评估结论的暇疵事项，在委托时未作特殊说明且评估人员根据专业经验一般不能获知的情况下，评估机构及评估人员不承担责任。</w:t>
      </w:r>
    </w:p>
    <w:p>
      <w:pPr>
        <w:adjustRightInd w:val="0"/>
        <w:snapToGrid w:val="0"/>
        <w:spacing w:line="520" w:lineRule="exact"/>
        <w:ind w:firstLine="482" w:firstLineChars="200"/>
        <w:textAlignment w:val="baseline"/>
        <w:rPr>
          <w:rFonts w:ascii="宋体" w:hAnsi="宋体" w:eastAsia="宋体" w:cs="宋体"/>
          <w:b/>
          <w:bCs/>
          <w:sz w:val="24"/>
          <w:szCs w:val="24"/>
          <w:highlight w:val="none"/>
        </w:rPr>
      </w:pPr>
      <w:r>
        <w:rPr>
          <w:rFonts w:hint="eastAsia" w:ascii="宋体" w:hAnsi="宋体" w:eastAsia="宋体" w:cs="宋体"/>
          <w:b/>
          <w:bCs/>
          <w:sz w:val="24"/>
          <w:szCs w:val="24"/>
          <w:highlight w:val="none"/>
        </w:rPr>
        <w:t>报告使用者在使用本报告过程中应注意以上特别说明事项对评估结论的影响。</w:t>
      </w:r>
    </w:p>
    <w:p>
      <w:pPr>
        <w:pStyle w:val="4"/>
        <w:numPr>
          <w:ilvl w:val="0"/>
          <w:numId w:val="2"/>
        </w:numPr>
        <w:tabs>
          <w:tab w:val="left" w:pos="1418"/>
        </w:tabs>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69" w:name="_Toc21643"/>
      <w:r>
        <w:rPr>
          <w:rFonts w:ascii="Calibri" w:hAnsi="Calibri" w:eastAsia="宋体" w:cs="Calibri"/>
          <w:spacing w:val="6"/>
          <w:sz w:val="24"/>
          <w:szCs w:val="24"/>
          <w:highlight w:val="none"/>
        </w:rPr>
        <w:t>资产评估报告使用限制说明</w:t>
      </w:r>
      <w:bookmarkEnd w:id="69"/>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1.本次对桓台县人民法院的评估结论仅供其拟资产处置这一评估目的使用，因使用不当产生的后果与评估机构及资产评估师无关。</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2.本资产评估报告只能由载明的资产评估报告使用人使用。</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3.未征得本评估机构的同意，资产评估报告的内容不得被摘抄、引用或披露于公开媒体，法律、法规规定以及相关当事人另有约定的除外。</w:t>
      </w:r>
    </w:p>
    <w:p>
      <w:pPr>
        <w:adjustRightInd w:val="0"/>
        <w:snapToGrid w:val="0"/>
        <w:spacing w:line="52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4.本资产评估报告从评估基准日起一年内使用有效。</w:t>
      </w:r>
    </w:p>
    <w:p>
      <w:pPr>
        <w:adjustRightInd w:val="0"/>
        <w:snapToGrid w:val="0"/>
        <w:spacing w:line="520" w:lineRule="exact"/>
        <w:ind w:firstLine="482" w:firstLineChars="200"/>
        <w:textAlignment w:val="baseline"/>
        <w:rPr>
          <w:rFonts w:ascii="宋体" w:hAnsi="宋体" w:eastAsia="宋体" w:cs="宋体"/>
          <w:b/>
          <w:sz w:val="24"/>
          <w:szCs w:val="24"/>
          <w:highlight w:val="none"/>
        </w:rPr>
      </w:pPr>
      <w:r>
        <w:rPr>
          <w:rFonts w:hint="eastAsia" w:ascii="宋体" w:hAnsi="宋体" w:eastAsia="宋体" w:cs="宋体"/>
          <w:b/>
          <w:sz w:val="24"/>
          <w:szCs w:val="24"/>
          <w:highlight w:val="none"/>
        </w:rPr>
        <w:t>5. 资产评估报告使用人应当正确理解评估结论，评估结论不等同于评估对象可实现价格，评估结论不应当被认为是对评估对象可实现价格的保证。</w:t>
      </w:r>
    </w:p>
    <w:p>
      <w:pPr>
        <w:pStyle w:val="4"/>
        <w:numPr>
          <w:ilvl w:val="0"/>
          <w:numId w:val="2"/>
        </w:numPr>
        <w:tabs>
          <w:tab w:val="left" w:pos="1418"/>
        </w:tabs>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70" w:name="_Toc16540"/>
      <w:r>
        <w:rPr>
          <w:rFonts w:ascii="Calibri" w:hAnsi="Calibri" w:eastAsia="宋体" w:cs="Calibri"/>
          <w:spacing w:val="6"/>
          <w:sz w:val="24"/>
          <w:szCs w:val="24"/>
          <w:highlight w:val="none"/>
        </w:rPr>
        <w:t>资产评估报告日</w:t>
      </w:r>
      <w:bookmarkEnd w:id="70"/>
    </w:p>
    <w:p>
      <w:pPr>
        <w:tabs>
          <w:tab w:val="left" w:pos="1418"/>
        </w:tabs>
        <w:adjustRightInd w:val="0"/>
        <w:snapToGrid w:val="0"/>
        <w:spacing w:line="520" w:lineRule="exact"/>
        <w:ind w:firstLine="480" w:firstLineChars="200"/>
        <w:rPr>
          <w:rFonts w:ascii="Calibri" w:hAnsi="Calibri" w:cs="Calibri"/>
          <w:spacing w:val="6"/>
          <w:sz w:val="24"/>
          <w:szCs w:val="24"/>
          <w:highlight w:val="none"/>
        </w:rPr>
      </w:pPr>
      <w:r>
        <w:rPr>
          <w:rFonts w:ascii="Calibri" w:hAnsi="Calibri" w:cs="Calibri"/>
          <w:sz w:val="24"/>
          <w:highlight w:val="none"/>
        </w:rPr>
        <w:t>资产评估报告日为资产评估结论形成的日期，</w:t>
      </w:r>
      <w:r>
        <w:rPr>
          <w:rFonts w:ascii="Calibri" w:hAnsi="Calibri" w:cs="Calibri"/>
          <w:spacing w:val="6"/>
          <w:sz w:val="24"/>
          <w:szCs w:val="24"/>
          <w:highlight w:val="none"/>
        </w:rPr>
        <w:t>本资产评估报告日为</w:t>
      </w:r>
      <w:r>
        <w:rPr>
          <w:rFonts w:hint="eastAsia" w:ascii="Calibri" w:hAnsi="Calibri" w:cs="Calibri"/>
          <w:spacing w:val="6"/>
          <w:sz w:val="24"/>
          <w:szCs w:val="24"/>
          <w:highlight w:val="none"/>
        </w:rPr>
        <w:t>202</w:t>
      </w:r>
      <w:r>
        <w:rPr>
          <w:rFonts w:hint="eastAsia" w:ascii="Calibri" w:hAnsi="Calibri" w:cs="Calibri"/>
          <w:spacing w:val="6"/>
          <w:sz w:val="24"/>
          <w:szCs w:val="24"/>
          <w:highlight w:val="none"/>
          <w:lang w:val="en-US" w:eastAsia="zh-CN"/>
        </w:rPr>
        <w:t>4</w:t>
      </w:r>
      <w:r>
        <w:rPr>
          <w:rFonts w:hint="eastAsia" w:ascii="Calibri" w:hAnsi="Calibri" w:cs="Calibri"/>
          <w:spacing w:val="6"/>
          <w:sz w:val="24"/>
          <w:szCs w:val="24"/>
          <w:highlight w:val="none"/>
        </w:rPr>
        <w:t>年</w:t>
      </w:r>
      <w:r>
        <w:rPr>
          <w:rFonts w:hint="eastAsia" w:ascii="Calibri" w:hAnsi="Calibri" w:cs="Calibri"/>
          <w:spacing w:val="6"/>
          <w:sz w:val="24"/>
          <w:szCs w:val="24"/>
          <w:highlight w:val="none"/>
          <w:lang w:val="en-US" w:eastAsia="zh-CN"/>
        </w:rPr>
        <w:t>01</w:t>
      </w:r>
      <w:r>
        <w:rPr>
          <w:rFonts w:hint="eastAsia" w:ascii="Calibri" w:hAnsi="Calibri" w:cs="Calibri"/>
          <w:spacing w:val="6"/>
          <w:sz w:val="24"/>
          <w:szCs w:val="24"/>
          <w:highlight w:val="none"/>
        </w:rPr>
        <w:t>月</w:t>
      </w:r>
      <w:r>
        <w:rPr>
          <w:rFonts w:hint="eastAsia" w:ascii="Calibri" w:hAnsi="Calibri" w:cs="Calibri"/>
          <w:spacing w:val="6"/>
          <w:sz w:val="24"/>
          <w:szCs w:val="24"/>
          <w:highlight w:val="none"/>
          <w:lang w:val="en-US" w:eastAsia="zh-CN"/>
        </w:rPr>
        <w:t>09</w:t>
      </w:r>
      <w:bookmarkStart w:id="78" w:name="_GoBack"/>
      <w:bookmarkEnd w:id="78"/>
      <w:r>
        <w:rPr>
          <w:rFonts w:hint="eastAsia" w:ascii="Calibri" w:hAnsi="Calibri" w:cs="Calibri"/>
          <w:spacing w:val="6"/>
          <w:sz w:val="24"/>
          <w:szCs w:val="24"/>
          <w:highlight w:val="none"/>
        </w:rPr>
        <w:t>日</w:t>
      </w:r>
      <w:r>
        <w:rPr>
          <w:rFonts w:ascii="Calibri" w:hAnsi="Calibri" w:cs="Calibri"/>
          <w:spacing w:val="6"/>
          <w:sz w:val="24"/>
          <w:szCs w:val="24"/>
          <w:highlight w:val="none"/>
        </w:rPr>
        <w:t>。</w:t>
      </w:r>
    </w:p>
    <w:p>
      <w:pPr>
        <w:pStyle w:val="4"/>
        <w:numPr>
          <w:ilvl w:val="0"/>
          <w:numId w:val="2"/>
        </w:numPr>
        <w:tabs>
          <w:tab w:val="left" w:pos="1418"/>
        </w:tabs>
        <w:adjustRightInd w:val="0"/>
        <w:snapToGrid w:val="0"/>
        <w:spacing w:before="0" w:after="0" w:line="520" w:lineRule="exact"/>
        <w:ind w:left="0" w:firstLine="506" w:firstLineChars="200"/>
        <w:rPr>
          <w:rFonts w:ascii="Calibri" w:hAnsi="Calibri" w:eastAsia="宋体" w:cs="Calibri"/>
          <w:spacing w:val="6"/>
          <w:sz w:val="24"/>
          <w:szCs w:val="24"/>
          <w:highlight w:val="none"/>
        </w:rPr>
      </w:pPr>
      <w:bookmarkStart w:id="71" w:name="_Toc2666"/>
      <w:r>
        <w:rPr>
          <w:rFonts w:hint="eastAsia" w:ascii="Calibri" w:hAnsi="Calibri" w:eastAsia="宋体" w:cs="Calibri"/>
          <w:spacing w:val="6"/>
          <w:sz w:val="24"/>
          <w:szCs w:val="24"/>
          <w:highlight w:val="none"/>
        </w:rPr>
        <w:t>资产评估师</w:t>
      </w:r>
      <w:r>
        <w:rPr>
          <w:rFonts w:ascii="Calibri" w:hAnsi="Calibri" w:eastAsia="宋体" w:cs="Calibri"/>
          <w:spacing w:val="6"/>
          <w:sz w:val="24"/>
          <w:szCs w:val="24"/>
          <w:highlight w:val="none"/>
        </w:rPr>
        <w:t>签名盖章</w:t>
      </w:r>
      <w:bookmarkEnd w:id="71"/>
    </w:p>
    <w:p>
      <w:pPr>
        <w:tabs>
          <w:tab w:val="left" w:pos="1418"/>
        </w:tabs>
        <w:adjustRightInd w:val="0"/>
        <w:snapToGrid w:val="0"/>
        <w:spacing w:line="520" w:lineRule="exact"/>
        <w:ind w:firstLine="480" w:firstLineChars="200"/>
        <w:rPr>
          <w:rFonts w:ascii="Calibri" w:hAnsi="Calibri" w:cs="Calibri"/>
          <w:sz w:val="24"/>
          <w:highlight w:val="none"/>
        </w:rPr>
      </w:pPr>
    </w:p>
    <w:p>
      <w:pPr>
        <w:tabs>
          <w:tab w:val="left" w:pos="1418"/>
        </w:tabs>
        <w:adjustRightInd w:val="0"/>
        <w:snapToGrid w:val="0"/>
        <w:spacing w:line="520" w:lineRule="exact"/>
        <w:ind w:firstLine="480" w:firstLineChars="200"/>
        <w:rPr>
          <w:rFonts w:ascii="Calibri" w:hAnsi="Calibri" w:cs="Calibri"/>
          <w:sz w:val="24"/>
          <w:highlight w:val="none"/>
        </w:rPr>
      </w:pPr>
      <w:r>
        <w:rPr>
          <w:rFonts w:hint="eastAsia" w:ascii="Calibri" w:hAnsi="Calibri" w:cs="Calibri"/>
          <w:sz w:val="24"/>
          <w:highlight w:val="none"/>
        </w:rPr>
        <w:t>评估机构法定代表人（或授权代表人）：</w:t>
      </w:r>
    </w:p>
    <w:p>
      <w:pPr>
        <w:tabs>
          <w:tab w:val="left" w:pos="1418"/>
        </w:tabs>
        <w:adjustRightInd w:val="0"/>
        <w:snapToGrid w:val="0"/>
        <w:spacing w:line="520" w:lineRule="exact"/>
        <w:ind w:firstLine="480" w:firstLineChars="200"/>
        <w:rPr>
          <w:rFonts w:ascii="Calibri" w:hAnsi="Calibri" w:cs="Calibri"/>
          <w:sz w:val="24"/>
          <w:highlight w:val="none"/>
        </w:rPr>
      </w:pPr>
    </w:p>
    <w:p>
      <w:pPr>
        <w:pStyle w:val="2"/>
        <w:ind w:left="840" w:hanging="420"/>
        <w:rPr>
          <w:highlight w:val="none"/>
        </w:rPr>
      </w:pPr>
    </w:p>
    <w:p>
      <w:pPr>
        <w:tabs>
          <w:tab w:val="left" w:pos="1418"/>
        </w:tabs>
        <w:adjustRightInd w:val="0"/>
        <w:snapToGrid w:val="0"/>
        <w:spacing w:line="520" w:lineRule="exact"/>
        <w:ind w:firstLine="480" w:firstLineChars="200"/>
        <w:rPr>
          <w:rFonts w:ascii="Calibri" w:hAnsi="Calibri" w:cs="Calibri"/>
          <w:sz w:val="24"/>
          <w:highlight w:val="none"/>
        </w:rPr>
      </w:pPr>
      <w:r>
        <w:rPr>
          <w:rFonts w:hint="eastAsia" w:ascii="Calibri" w:hAnsi="Calibri" w:cs="Calibri"/>
          <w:sz w:val="24"/>
          <w:highlight w:val="none"/>
        </w:rPr>
        <w:t>资产评估师签章：</w:t>
      </w:r>
    </w:p>
    <w:p>
      <w:pPr>
        <w:tabs>
          <w:tab w:val="left" w:pos="1418"/>
        </w:tabs>
        <w:adjustRightInd w:val="0"/>
        <w:snapToGrid w:val="0"/>
        <w:spacing w:line="520" w:lineRule="exact"/>
        <w:ind w:firstLine="480" w:firstLineChars="200"/>
        <w:rPr>
          <w:rFonts w:ascii="Calibri" w:hAnsi="Calibri" w:cs="Calibri"/>
          <w:sz w:val="24"/>
          <w:highlight w:val="none"/>
        </w:rPr>
      </w:pPr>
    </w:p>
    <w:p>
      <w:pPr>
        <w:pStyle w:val="2"/>
        <w:ind w:left="840" w:hanging="420"/>
        <w:rPr>
          <w:highlight w:val="none"/>
        </w:rPr>
      </w:pPr>
    </w:p>
    <w:p>
      <w:pPr>
        <w:tabs>
          <w:tab w:val="left" w:pos="1418"/>
        </w:tabs>
        <w:adjustRightInd w:val="0"/>
        <w:snapToGrid w:val="0"/>
        <w:spacing w:line="520" w:lineRule="exact"/>
        <w:ind w:firstLine="480" w:firstLineChars="200"/>
        <w:rPr>
          <w:rFonts w:ascii="Calibri" w:hAnsi="Calibri" w:cs="Calibri"/>
          <w:sz w:val="24"/>
          <w:highlight w:val="none"/>
        </w:rPr>
      </w:pPr>
      <w:r>
        <w:rPr>
          <w:rFonts w:hint="eastAsia" w:ascii="Calibri" w:hAnsi="Calibri" w:cs="Calibri"/>
          <w:sz w:val="24"/>
          <w:highlight w:val="none"/>
        </w:rPr>
        <w:t>资产评估师签章：</w:t>
      </w:r>
    </w:p>
    <w:p>
      <w:pPr>
        <w:pStyle w:val="2"/>
        <w:ind w:left="924" w:hanging="504"/>
        <w:rPr>
          <w:rFonts w:ascii="Calibri" w:hAnsi="Calibri" w:cs="Calibri"/>
          <w:spacing w:val="6"/>
          <w:sz w:val="24"/>
          <w:szCs w:val="24"/>
          <w:highlight w:val="none"/>
        </w:rPr>
      </w:pPr>
    </w:p>
    <w:p>
      <w:pPr>
        <w:pStyle w:val="2"/>
        <w:ind w:left="924" w:hanging="504"/>
        <w:rPr>
          <w:rFonts w:ascii="Calibri" w:hAnsi="Calibri" w:cs="Calibri"/>
          <w:spacing w:val="6"/>
          <w:sz w:val="24"/>
          <w:szCs w:val="24"/>
          <w:highlight w:val="none"/>
        </w:rPr>
      </w:pPr>
    </w:p>
    <w:p>
      <w:pPr>
        <w:pStyle w:val="2"/>
        <w:ind w:left="924" w:hanging="504"/>
        <w:rPr>
          <w:rFonts w:ascii="Calibri" w:hAnsi="Calibri" w:cs="Calibri"/>
          <w:spacing w:val="6"/>
          <w:sz w:val="24"/>
          <w:szCs w:val="24"/>
          <w:highlight w:val="none"/>
        </w:rPr>
      </w:pPr>
    </w:p>
    <w:p>
      <w:pPr>
        <w:pStyle w:val="2"/>
        <w:ind w:left="924" w:hanging="504"/>
        <w:rPr>
          <w:rFonts w:ascii="Calibri" w:hAnsi="Calibri" w:cs="Calibri"/>
          <w:spacing w:val="6"/>
          <w:sz w:val="24"/>
          <w:szCs w:val="24"/>
          <w:highlight w:val="none"/>
        </w:rPr>
      </w:pPr>
    </w:p>
    <w:p>
      <w:pPr>
        <w:pStyle w:val="2"/>
        <w:ind w:left="924" w:hanging="504"/>
        <w:rPr>
          <w:rFonts w:ascii="Calibri" w:hAnsi="Calibri" w:cs="Calibri"/>
          <w:spacing w:val="6"/>
          <w:sz w:val="24"/>
          <w:szCs w:val="24"/>
          <w:highlight w:val="none"/>
        </w:rPr>
      </w:pPr>
    </w:p>
    <w:p>
      <w:pPr>
        <w:snapToGrid w:val="0"/>
        <w:spacing w:line="360" w:lineRule="auto"/>
        <w:ind w:firstLine="504" w:firstLineChars="200"/>
        <w:jc w:val="right"/>
        <w:rPr>
          <w:rFonts w:ascii="Calibri" w:hAnsi="Calibri" w:cs="Calibri"/>
          <w:spacing w:val="6"/>
          <w:sz w:val="24"/>
          <w:szCs w:val="24"/>
          <w:highlight w:val="none"/>
        </w:rPr>
      </w:pPr>
      <w:r>
        <w:rPr>
          <w:rFonts w:hint="eastAsia" w:ascii="Calibri" w:hAnsi="Calibri" w:cs="Calibri"/>
          <w:spacing w:val="6"/>
          <w:sz w:val="24"/>
          <w:szCs w:val="24"/>
          <w:highlight w:val="none"/>
        </w:rPr>
        <w:t>山东国润恒丰土地房地产评估有限公司</w:t>
      </w:r>
    </w:p>
    <w:p>
      <w:pPr>
        <w:snapToGrid w:val="0"/>
        <w:spacing w:line="360" w:lineRule="auto"/>
        <w:ind w:firstLine="504" w:firstLineChars="200"/>
        <w:jc w:val="right"/>
        <w:rPr>
          <w:rFonts w:hint="eastAsia" w:ascii="Calibri" w:hAnsi="Calibri" w:cs="Calibri" w:eastAsiaTheme="minorEastAsia"/>
          <w:spacing w:val="6"/>
          <w:sz w:val="24"/>
          <w:szCs w:val="24"/>
          <w:highlight w:val="none"/>
          <w:lang w:eastAsia="zh-CN"/>
        </w:rPr>
      </w:pPr>
      <w:r>
        <w:rPr>
          <w:rFonts w:hint="eastAsia" w:ascii="Calibri" w:hAnsi="Calibri" w:cs="Calibri"/>
          <w:spacing w:val="6"/>
          <w:sz w:val="24"/>
          <w:szCs w:val="24"/>
          <w:highlight w:val="none"/>
          <w:lang w:eastAsia="zh-CN"/>
        </w:rPr>
        <w:t>二〇二四年一月九日</w:t>
      </w:r>
    </w:p>
    <w:p>
      <w:pPr>
        <w:pStyle w:val="41"/>
        <w:adjustRightInd w:val="0"/>
        <w:ind w:firstLine="717" w:firstLineChars="192"/>
        <w:jc w:val="both"/>
        <w:rPr>
          <w:rFonts w:ascii="Calibri" w:hAnsi="Calibri" w:eastAsia="黑体" w:cs="Calibri"/>
          <w:spacing w:val="6"/>
          <w:kern w:val="44"/>
          <w:sz w:val="36"/>
          <w:szCs w:val="36"/>
          <w:highlight w:val="none"/>
        </w:rPr>
        <w:sectPr>
          <w:headerReference r:id="rId17" w:type="first"/>
          <w:headerReference r:id="rId16" w:type="default"/>
          <w:pgSz w:w="11906" w:h="16838"/>
          <w:pgMar w:top="1588" w:right="1502" w:bottom="1247" w:left="1701" w:header="851" w:footer="737" w:gutter="0"/>
          <w:cols w:space="425" w:num="1"/>
          <w:titlePg/>
          <w:docGrid w:type="lines" w:linePitch="326" w:charSpace="0"/>
        </w:sectPr>
      </w:pPr>
    </w:p>
    <w:p>
      <w:pPr>
        <w:pStyle w:val="41"/>
        <w:adjustRightInd w:val="0"/>
        <w:ind w:firstLine="0" w:firstLineChars="0"/>
        <w:jc w:val="both"/>
        <w:rPr>
          <w:rFonts w:ascii="Calibri" w:hAnsi="Calibri" w:eastAsia="黑体" w:cs="Calibri"/>
          <w:spacing w:val="6"/>
          <w:kern w:val="44"/>
          <w:sz w:val="36"/>
          <w:szCs w:val="36"/>
          <w:highlight w:val="none"/>
        </w:rPr>
      </w:pPr>
    </w:p>
    <w:p>
      <w:pPr>
        <w:pStyle w:val="41"/>
        <w:adjustRightInd w:val="0"/>
        <w:ind w:firstLine="0" w:firstLineChars="0"/>
        <w:rPr>
          <w:rFonts w:ascii="Calibri" w:hAnsi="Calibri" w:eastAsia="黑体" w:cs="Calibri"/>
          <w:spacing w:val="6"/>
          <w:kern w:val="44"/>
          <w:sz w:val="36"/>
          <w:szCs w:val="36"/>
          <w:highlight w:val="none"/>
        </w:rPr>
      </w:pPr>
      <w:bookmarkStart w:id="72" w:name="_Toc3439"/>
      <w:r>
        <w:rPr>
          <w:rFonts w:ascii="Calibri" w:hAnsi="Calibri" w:eastAsia="黑体" w:cs="Calibri"/>
          <w:spacing w:val="6"/>
          <w:kern w:val="44"/>
          <w:sz w:val="36"/>
          <w:szCs w:val="36"/>
          <w:highlight w:val="none"/>
        </w:rPr>
        <w:t>附</w:t>
      </w:r>
      <w:r>
        <w:rPr>
          <w:rFonts w:hint="eastAsia" w:ascii="Calibri" w:hAnsi="Calibri" w:eastAsia="黑体" w:cs="Calibri"/>
          <w:spacing w:val="6"/>
          <w:kern w:val="44"/>
          <w:sz w:val="36"/>
          <w:szCs w:val="36"/>
          <w:highlight w:val="none"/>
        </w:rPr>
        <w:t xml:space="preserve">  </w:t>
      </w:r>
      <w:r>
        <w:rPr>
          <w:rFonts w:ascii="Calibri" w:hAnsi="Calibri" w:eastAsia="黑体" w:cs="Calibri"/>
          <w:spacing w:val="6"/>
          <w:kern w:val="44"/>
          <w:sz w:val="36"/>
          <w:szCs w:val="36"/>
          <w:highlight w:val="none"/>
        </w:rPr>
        <w:t>件</w:t>
      </w:r>
      <w:bookmarkEnd w:id="72"/>
    </w:p>
    <w:p>
      <w:pPr>
        <w:spacing w:line="600" w:lineRule="auto"/>
        <w:ind w:firstLine="960" w:firstLineChars="400"/>
        <w:rPr>
          <w:rFonts w:ascii="宋体" w:hAnsi="宋体" w:eastAsia="宋体" w:cs="宋体"/>
          <w:sz w:val="24"/>
          <w:szCs w:val="24"/>
          <w:highlight w:val="none"/>
        </w:rPr>
      </w:pPr>
      <w:bookmarkStart w:id="73" w:name="_Toc18972_WPSOffice_Level2"/>
    </w:p>
    <w:p>
      <w:pPr>
        <w:spacing w:line="60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附件1、资产评估明细表；</w:t>
      </w:r>
      <w:bookmarkEnd w:id="73"/>
    </w:p>
    <w:p>
      <w:pPr>
        <w:spacing w:line="600" w:lineRule="auto"/>
        <w:ind w:firstLine="960" w:firstLineChars="400"/>
        <w:rPr>
          <w:rFonts w:ascii="宋体" w:hAnsi="宋体" w:eastAsia="宋体" w:cs="宋体"/>
          <w:sz w:val="24"/>
          <w:szCs w:val="24"/>
          <w:highlight w:val="none"/>
        </w:rPr>
      </w:pPr>
      <w:bookmarkStart w:id="74" w:name="_Toc26528_WPSOffice_Level2"/>
      <w:r>
        <w:rPr>
          <w:rFonts w:hint="eastAsia" w:ascii="宋体" w:hAnsi="宋体" w:eastAsia="宋体" w:cs="宋体"/>
          <w:sz w:val="24"/>
          <w:szCs w:val="24"/>
          <w:highlight w:val="none"/>
        </w:rPr>
        <w:t>附件2、委估资产实物照片；</w:t>
      </w:r>
      <w:bookmarkEnd w:id="74"/>
    </w:p>
    <w:p>
      <w:pPr>
        <w:spacing w:line="60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附件3、车辆行驶证及相关资料复印件</w:t>
      </w:r>
    </w:p>
    <w:p>
      <w:pPr>
        <w:spacing w:line="60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附件4、桓台县人民法院委托书复印件；</w:t>
      </w:r>
    </w:p>
    <w:p>
      <w:pPr>
        <w:spacing w:line="600" w:lineRule="auto"/>
        <w:ind w:firstLine="960" w:firstLineChars="400"/>
        <w:rPr>
          <w:rFonts w:ascii="宋体" w:hAnsi="宋体" w:eastAsia="宋体" w:cs="宋体"/>
          <w:sz w:val="24"/>
          <w:szCs w:val="24"/>
          <w:highlight w:val="none"/>
        </w:rPr>
      </w:pPr>
      <w:bookmarkStart w:id="75" w:name="_Toc8388_WPSOffice_Level2"/>
      <w:r>
        <w:rPr>
          <w:rFonts w:hint="eastAsia" w:ascii="宋体" w:hAnsi="宋体" w:eastAsia="宋体" w:cs="宋体"/>
          <w:sz w:val="24"/>
          <w:szCs w:val="24"/>
          <w:highlight w:val="none"/>
        </w:rPr>
        <w:t>附件5、</w:t>
      </w:r>
      <w:bookmarkEnd w:id="75"/>
      <w:bookmarkStart w:id="76" w:name="_Toc29849_WPSOffice_Level2"/>
      <w:r>
        <w:rPr>
          <w:rFonts w:hint="eastAsia" w:ascii="宋体" w:hAnsi="宋体" w:eastAsia="宋体" w:cs="宋体"/>
          <w:sz w:val="24"/>
          <w:szCs w:val="24"/>
          <w:highlight w:val="none"/>
        </w:rPr>
        <w:t>评估机构法人营业执照复印件；</w:t>
      </w:r>
      <w:bookmarkEnd w:id="76"/>
    </w:p>
    <w:p>
      <w:pPr>
        <w:spacing w:line="600" w:lineRule="auto"/>
        <w:ind w:firstLine="960" w:firstLineChars="400"/>
        <w:rPr>
          <w:rFonts w:ascii="宋体" w:hAnsi="宋体" w:eastAsia="宋体" w:cs="宋体"/>
          <w:sz w:val="24"/>
          <w:szCs w:val="24"/>
          <w:highlight w:val="none"/>
        </w:rPr>
      </w:pPr>
      <w:bookmarkStart w:id="77" w:name="_Toc32114_WPSOffice_Level2"/>
      <w:r>
        <w:rPr>
          <w:rFonts w:hint="eastAsia" w:ascii="宋体" w:hAnsi="宋体" w:eastAsia="宋体" w:cs="宋体"/>
          <w:sz w:val="24"/>
          <w:szCs w:val="24"/>
          <w:highlight w:val="none"/>
        </w:rPr>
        <w:t>附件6、</w:t>
      </w:r>
      <w:bookmarkEnd w:id="77"/>
      <w:r>
        <w:rPr>
          <w:rFonts w:hint="eastAsia" w:ascii="宋体" w:hAnsi="宋体" w:eastAsia="宋体" w:cs="宋体"/>
          <w:sz w:val="24"/>
          <w:szCs w:val="24"/>
          <w:highlight w:val="none"/>
        </w:rPr>
        <w:t>资产评估师资格证书复印件。</w:t>
      </w:r>
    </w:p>
    <w:p>
      <w:pPr>
        <w:snapToGrid w:val="0"/>
        <w:spacing w:line="360" w:lineRule="auto"/>
        <w:rPr>
          <w:rFonts w:ascii="Calibri" w:hAnsi="Calibri" w:cs="Calibri"/>
          <w:spacing w:val="6"/>
          <w:sz w:val="24"/>
          <w:szCs w:val="24"/>
          <w:highlight w:val="none"/>
        </w:rPr>
      </w:pPr>
    </w:p>
    <w:sectPr>
      <w:pgSz w:w="11906" w:h="16838"/>
      <w:pgMar w:top="1588" w:right="1276" w:bottom="1588" w:left="1446" w:header="851" w:footer="73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2"/>
      </w:rPr>
    </w:pPr>
    <w:r>
      <w:rPr>
        <w:rStyle w:val="32"/>
      </w:rPr>
      <w:fldChar w:fldCharType="begin"/>
    </w:r>
    <w:r>
      <w:rPr>
        <w:rStyle w:val="32"/>
      </w:rPr>
      <w:instrText xml:space="preserve">PAGE  </w:instrText>
    </w:r>
    <w:r>
      <w:rPr>
        <w:rStyle w:val="32"/>
      </w:rPr>
      <w:fldChar w:fldCharType="separate"/>
    </w:r>
    <w:r>
      <w:rPr>
        <w:rStyle w:val="32"/>
      </w:rPr>
      <w:t>0</w:t>
    </w:r>
    <w:r>
      <w:rPr>
        <w:rStyle w:val="32"/>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765"/>
        <w:tab w:val="clear" w:pos="4153"/>
        <w:tab w:val="clear" w:pos="8306"/>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double" w:color="auto" w:sz="4" w:space="1"/>
      </w:pBdr>
    </w:pPr>
    <w:r>
      <w:rPr>
        <w:rFonts w:hint="eastAsia" w:ascii="华文中宋" w:hAnsi="华文中宋" w:eastAsia="华文中宋" w:cs="华文中宋"/>
        <w:bCs/>
        <w:szCs w:val="18"/>
      </w:rPr>
      <w:t xml:space="preserve"> </w:t>
    </w:r>
    <w:r>
      <w:rPr>
        <w:rFonts w:hint="eastAsia" w:ascii="华文中宋" w:hAnsi="华文中宋" w:eastAsia="华文中宋" w:cs="华文中宋"/>
        <w:szCs w:val="18"/>
      </w:rPr>
      <w:t>地址：淄博市张店区人民西路176号晶城大厦508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double" w:color="auto" w:sz="4" w:space="1"/>
      </w:pBdr>
      <w:rPr>
        <w:rFonts w:ascii="华文中宋" w:hAnsi="华文中宋" w:eastAsia="华文中宋" w:cs="华文中宋"/>
        <w:szCs w:val="18"/>
      </w:rPr>
    </w:pPr>
    <w:r>
      <w:rPr>
        <w:rFonts w:hint="eastAsia" w:ascii="华文中宋" w:hAnsi="华文中宋" w:eastAsia="华文中宋" w:cs="华文中宋"/>
        <w:szCs w:val="18"/>
      </w:rPr>
      <w:t>地址：淄博市张店区人民西路176号晶城大厦508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double" w:color="auto" w:sz="4" w:space="1"/>
      </w:pBdr>
    </w:pPr>
    <w: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9"/>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w:r>
    <w:r>
      <w:rPr>
        <w:rFonts w:hint="eastAsia" w:ascii="华文中宋" w:hAnsi="华文中宋" w:eastAsia="华文中宋" w:cs="华文中宋"/>
        <w:bCs/>
        <w:szCs w:val="18"/>
      </w:rPr>
      <w:t xml:space="preserve"> </w:t>
    </w:r>
    <w:r>
      <w:rPr>
        <w:rFonts w:hint="eastAsia" w:ascii="华文中宋" w:hAnsi="华文中宋" w:eastAsia="华文中宋" w:cs="华文中宋"/>
        <w:szCs w:val="18"/>
      </w:rPr>
      <w:t>地址：淄博市张店区人民西路176号晶城大厦508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double" w:color="auto" w:sz="4" w:space="1"/>
      </w:pBdr>
      <w:rPr>
        <w:rFonts w:ascii="华文中宋" w:hAnsi="华文中宋" w:eastAsia="华文中宋" w:cs="华文中宋"/>
        <w:szCs w:val="18"/>
      </w:rPr>
    </w:pPr>
    <w:r>
      <w:pict>
        <v:shape id="_x0000_s4100" o:spid="_x0000_s410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w:r>
    <w:r>
      <w:rPr>
        <w:rFonts w:hint="eastAsia" w:ascii="华文中宋" w:hAnsi="华文中宋" w:eastAsia="华文中宋" w:cs="华文中宋"/>
        <w:szCs w:val="18"/>
      </w:rPr>
      <w:t>地址：淄博市张店区人民西路176号晶城大厦508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宋体" w:hAnsi="宋体"/>
        <w:color w:val="404040"/>
        <w:sz w:val="21"/>
        <w:szCs w:val="21"/>
      </w:rPr>
    </w:pPr>
    <w:r>
      <w:rPr>
        <w:rFonts w:hint="eastAsia" w:ascii="宋体" w:hAnsi="宋体"/>
        <w:color w:val="404040"/>
        <w:sz w:val="21"/>
        <w:szCs w:val="21"/>
      </w:rPr>
      <w:drawing>
        <wp:inline distT="0" distB="0" distL="114300" distR="114300">
          <wp:extent cx="444500" cy="443230"/>
          <wp:effectExtent l="0" t="0" r="12700" b="13970"/>
          <wp:docPr id="2" name="图片 2"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修改尺寸"/>
                  <pic:cNvPicPr>
                    <a:picLocks noChangeAspect="1"/>
                  </pic:cNvPicPr>
                </pic:nvPicPr>
                <pic:blipFill>
                  <a:blip r:embed="rId1"/>
                  <a:stretch>
                    <a:fillRect/>
                  </a:stretch>
                </pic:blipFill>
                <pic:spPr>
                  <a:xfrm>
                    <a:off x="0" y="0"/>
                    <a:ext cx="444500" cy="443230"/>
                  </a:xfrm>
                  <a:prstGeom prst="rect">
                    <a:avLst/>
                  </a:prstGeom>
                </pic:spPr>
              </pic:pic>
            </a:graphicData>
          </a:graphic>
        </wp:inline>
      </w:drawing>
    </w:r>
    <w:r>
      <w:rPr>
        <w:rFonts w:hint="eastAsia" w:ascii="宋体" w:hAnsi="宋体"/>
        <w:color w:val="404040"/>
        <w:sz w:val="21"/>
        <w:szCs w:val="21"/>
      </w:rPr>
      <w:t xml:space="preserve">                                                         </w:t>
    </w:r>
    <w:r>
      <w:rPr>
        <w:rFonts w:hint="eastAsia" w:eastAsia="楷体_GB2312"/>
        <w:b/>
        <w:szCs w:val="18"/>
      </w:rPr>
      <w:t>***项目资产评估报告 声明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华文中宋" w:hAnsi="华文中宋" w:eastAsia="华文中宋" w:cs="华文中宋"/>
        <w:bCs/>
        <w:szCs w:val="18"/>
      </w:rPr>
      <w:t>山东国润恒丰土地房地产评估有限公司                桓台县人民法院拟资产处置项目资产评估报告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华文中宋" w:hAnsi="华文中宋" w:eastAsia="华文中宋" w:cs="华文中宋"/>
        <w:bCs/>
        <w:szCs w:val="18"/>
      </w:rPr>
    </w:pPr>
    <w:r>
      <w:rPr>
        <w:rFonts w:hint="eastAsia" w:ascii="华文中宋" w:hAnsi="华文中宋" w:eastAsia="华文中宋" w:cs="华文中宋"/>
        <w:bCs/>
        <w:szCs w:val="18"/>
      </w:rPr>
      <w:t>山东国润恒丰土地房地产评估有限公司                桓台县人民法院拟资产处置项目资产评估报告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华文中宋" w:hAnsi="华文中宋" w:eastAsia="华文中宋" w:cs="华文中宋"/>
        <w:bCs/>
        <w:szCs w:val="18"/>
      </w:rPr>
      <w:t>山东国润恒丰土地房地产评估有限公司                桓台县人民法院拟资产处置项目资产评估报告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华文中宋" w:hAnsi="华文中宋" w:eastAsia="华文中宋" w:cs="华文中宋"/>
        <w:bCs/>
        <w:szCs w:val="18"/>
      </w:rPr>
      <w:t>山东国润恒丰土地房地产评估有限公司                桓台县人民法院拟资产处置项目资产评估报告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华文中宋" w:hAnsi="华文中宋" w:eastAsia="华文中宋" w:cs="华文中宋"/>
        <w:bCs/>
        <w:szCs w:val="18"/>
      </w:rPr>
      <w:t>山东国润恒丰土地房地产评估有限公司                桓台县人民法院拟资产处置项目资产评估报告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4F5B"/>
    <w:multiLevelType w:val="multilevel"/>
    <w:tmpl w:val="00A44F5B"/>
    <w:lvl w:ilvl="0" w:tentative="0">
      <w:start w:val="1"/>
      <w:numFmt w:val="japaneseCounting"/>
      <w:lvlText w:val="%1、"/>
      <w:lvlJc w:val="left"/>
      <w:pPr>
        <w:ind w:left="1271" w:hanging="420"/>
      </w:pPr>
      <w:rPr>
        <w:rFonts w:hint="default"/>
      </w:rPr>
    </w:lvl>
    <w:lvl w:ilvl="1" w:tentative="0">
      <w:start w:val="1"/>
      <w:numFmt w:val="lowerLetter"/>
      <w:lvlText w:val="%2)"/>
      <w:lvlJc w:val="left"/>
      <w:pPr>
        <w:ind w:left="1825" w:hanging="420"/>
      </w:pPr>
    </w:lvl>
    <w:lvl w:ilvl="2" w:tentative="0">
      <w:start w:val="1"/>
      <w:numFmt w:val="lowerRoman"/>
      <w:lvlText w:val="%3."/>
      <w:lvlJc w:val="right"/>
      <w:pPr>
        <w:ind w:left="2245" w:hanging="420"/>
      </w:pPr>
    </w:lvl>
    <w:lvl w:ilvl="3" w:tentative="0">
      <w:start w:val="1"/>
      <w:numFmt w:val="decimal"/>
      <w:lvlText w:val="%4."/>
      <w:lvlJc w:val="left"/>
      <w:pPr>
        <w:ind w:left="2665" w:hanging="420"/>
      </w:pPr>
    </w:lvl>
    <w:lvl w:ilvl="4" w:tentative="0">
      <w:start w:val="1"/>
      <w:numFmt w:val="lowerLetter"/>
      <w:lvlText w:val="%5)"/>
      <w:lvlJc w:val="left"/>
      <w:pPr>
        <w:ind w:left="3085" w:hanging="420"/>
      </w:pPr>
    </w:lvl>
    <w:lvl w:ilvl="5" w:tentative="0">
      <w:start w:val="1"/>
      <w:numFmt w:val="lowerRoman"/>
      <w:lvlText w:val="%6."/>
      <w:lvlJc w:val="right"/>
      <w:pPr>
        <w:ind w:left="3505" w:hanging="420"/>
      </w:pPr>
    </w:lvl>
    <w:lvl w:ilvl="6" w:tentative="0">
      <w:start w:val="1"/>
      <w:numFmt w:val="decimal"/>
      <w:lvlText w:val="%7."/>
      <w:lvlJc w:val="left"/>
      <w:pPr>
        <w:ind w:left="3925" w:hanging="420"/>
      </w:pPr>
    </w:lvl>
    <w:lvl w:ilvl="7" w:tentative="0">
      <w:start w:val="1"/>
      <w:numFmt w:val="lowerLetter"/>
      <w:lvlText w:val="%8)"/>
      <w:lvlJc w:val="left"/>
      <w:pPr>
        <w:ind w:left="4345" w:hanging="420"/>
      </w:pPr>
    </w:lvl>
    <w:lvl w:ilvl="8" w:tentative="0">
      <w:start w:val="1"/>
      <w:numFmt w:val="lowerRoman"/>
      <w:lvlText w:val="%9."/>
      <w:lvlJc w:val="right"/>
      <w:pPr>
        <w:ind w:left="4765" w:hanging="420"/>
      </w:pPr>
    </w:lvl>
  </w:abstractNum>
  <w:abstractNum w:abstractNumId="1">
    <w:nsid w:val="1DA62913"/>
    <w:multiLevelType w:val="multilevel"/>
    <w:tmpl w:val="1DA62913"/>
    <w:lvl w:ilvl="0" w:tentative="0">
      <w:start w:val="1"/>
      <w:numFmt w:val="japaneseCounting"/>
      <w:lvlText w:val="（%1）"/>
      <w:lvlJc w:val="left"/>
      <w:pPr>
        <w:ind w:left="1271" w:hanging="4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3628670C"/>
    <w:multiLevelType w:val="multilevel"/>
    <w:tmpl w:val="3628670C"/>
    <w:lvl w:ilvl="0" w:tentative="0">
      <w:start w:val="1"/>
      <w:numFmt w:val="chineseCountingThousand"/>
      <w:lvlText w:val="%1、"/>
      <w:lvlJc w:val="left"/>
      <w:pPr>
        <w:ind w:left="982" w:hanging="4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3CFE2679"/>
    <w:multiLevelType w:val="multilevel"/>
    <w:tmpl w:val="3CFE2679"/>
    <w:lvl w:ilvl="0" w:tentative="0">
      <w:start w:val="1"/>
      <w:numFmt w:val="japaneseCounting"/>
      <w:lvlText w:val="（%1）"/>
      <w:lvlJc w:val="left"/>
      <w:pPr>
        <w:ind w:left="980" w:hanging="420"/>
      </w:pPr>
      <w:rPr>
        <w:rFonts w:hint="default"/>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documentProtection w:enforcement="0"/>
  <w:defaultTabStop w:val="105"/>
  <w:drawingGridHorizontalSpacing w:val="105"/>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2MWVkZjliYTE4ZjliOTBlZTUwMDc2MzIyNTE4ZDAifQ=="/>
  </w:docVars>
  <w:rsids>
    <w:rsidRoot w:val="008F1E4C"/>
    <w:rsid w:val="00000001"/>
    <w:rsid w:val="0000074B"/>
    <w:rsid w:val="00000ECF"/>
    <w:rsid w:val="00001091"/>
    <w:rsid w:val="00005BB9"/>
    <w:rsid w:val="00007075"/>
    <w:rsid w:val="00012E54"/>
    <w:rsid w:val="00012E69"/>
    <w:rsid w:val="00014626"/>
    <w:rsid w:val="000156AC"/>
    <w:rsid w:val="00015BAE"/>
    <w:rsid w:val="00017559"/>
    <w:rsid w:val="00020BF9"/>
    <w:rsid w:val="000218A8"/>
    <w:rsid w:val="000220BA"/>
    <w:rsid w:val="0002266A"/>
    <w:rsid w:val="000232EB"/>
    <w:rsid w:val="0002336A"/>
    <w:rsid w:val="00024346"/>
    <w:rsid w:val="000243B7"/>
    <w:rsid w:val="00024AB8"/>
    <w:rsid w:val="00024C1B"/>
    <w:rsid w:val="000259B9"/>
    <w:rsid w:val="00025E88"/>
    <w:rsid w:val="00025F81"/>
    <w:rsid w:val="000263BC"/>
    <w:rsid w:val="00026B6F"/>
    <w:rsid w:val="00027A4F"/>
    <w:rsid w:val="00032607"/>
    <w:rsid w:val="00032B5F"/>
    <w:rsid w:val="00033765"/>
    <w:rsid w:val="00034554"/>
    <w:rsid w:val="00034940"/>
    <w:rsid w:val="00036238"/>
    <w:rsid w:val="00037018"/>
    <w:rsid w:val="00042004"/>
    <w:rsid w:val="00043A75"/>
    <w:rsid w:val="00043E30"/>
    <w:rsid w:val="00047791"/>
    <w:rsid w:val="0004779E"/>
    <w:rsid w:val="00050AC9"/>
    <w:rsid w:val="00052158"/>
    <w:rsid w:val="00052919"/>
    <w:rsid w:val="00053D21"/>
    <w:rsid w:val="00054BE0"/>
    <w:rsid w:val="00055FFB"/>
    <w:rsid w:val="000560CB"/>
    <w:rsid w:val="00061261"/>
    <w:rsid w:val="00061797"/>
    <w:rsid w:val="00061981"/>
    <w:rsid w:val="0006309B"/>
    <w:rsid w:val="000649BC"/>
    <w:rsid w:val="000663B7"/>
    <w:rsid w:val="00066428"/>
    <w:rsid w:val="00066F98"/>
    <w:rsid w:val="00067B58"/>
    <w:rsid w:val="000704DC"/>
    <w:rsid w:val="0007130A"/>
    <w:rsid w:val="00071941"/>
    <w:rsid w:val="00071EB0"/>
    <w:rsid w:val="00072231"/>
    <w:rsid w:val="00072E22"/>
    <w:rsid w:val="00072FF4"/>
    <w:rsid w:val="00073555"/>
    <w:rsid w:val="000736A0"/>
    <w:rsid w:val="00074D45"/>
    <w:rsid w:val="00075748"/>
    <w:rsid w:val="0007584B"/>
    <w:rsid w:val="00075F0C"/>
    <w:rsid w:val="0007656E"/>
    <w:rsid w:val="00081D4D"/>
    <w:rsid w:val="0008222F"/>
    <w:rsid w:val="00082FED"/>
    <w:rsid w:val="00084B1C"/>
    <w:rsid w:val="00084F8D"/>
    <w:rsid w:val="0008535F"/>
    <w:rsid w:val="00085484"/>
    <w:rsid w:val="00086A03"/>
    <w:rsid w:val="0008795B"/>
    <w:rsid w:val="00090393"/>
    <w:rsid w:val="00090FF3"/>
    <w:rsid w:val="000910B3"/>
    <w:rsid w:val="00091E52"/>
    <w:rsid w:val="00092046"/>
    <w:rsid w:val="0009260A"/>
    <w:rsid w:val="0009277A"/>
    <w:rsid w:val="000938B7"/>
    <w:rsid w:val="00093ECF"/>
    <w:rsid w:val="000946FC"/>
    <w:rsid w:val="000948D4"/>
    <w:rsid w:val="000968FB"/>
    <w:rsid w:val="00097455"/>
    <w:rsid w:val="000A013C"/>
    <w:rsid w:val="000A1C81"/>
    <w:rsid w:val="000A25E2"/>
    <w:rsid w:val="000A3D5A"/>
    <w:rsid w:val="000A4C0E"/>
    <w:rsid w:val="000A4D2B"/>
    <w:rsid w:val="000A5B6E"/>
    <w:rsid w:val="000A5FA1"/>
    <w:rsid w:val="000A681C"/>
    <w:rsid w:val="000A7381"/>
    <w:rsid w:val="000B13BF"/>
    <w:rsid w:val="000B422E"/>
    <w:rsid w:val="000B44A3"/>
    <w:rsid w:val="000B6D20"/>
    <w:rsid w:val="000C040C"/>
    <w:rsid w:val="000C057A"/>
    <w:rsid w:val="000C083A"/>
    <w:rsid w:val="000C0C2D"/>
    <w:rsid w:val="000C10A1"/>
    <w:rsid w:val="000C130C"/>
    <w:rsid w:val="000C1A6A"/>
    <w:rsid w:val="000C21C9"/>
    <w:rsid w:val="000C4195"/>
    <w:rsid w:val="000C62A7"/>
    <w:rsid w:val="000C69D5"/>
    <w:rsid w:val="000C793A"/>
    <w:rsid w:val="000D04AA"/>
    <w:rsid w:val="000D14FE"/>
    <w:rsid w:val="000D2A4D"/>
    <w:rsid w:val="000D2B62"/>
    <w:rsid w:val="000D610D"/>
    <w:rsid w:val="000D69A7"/>
    <w:rsid w:val="000D7886"/>
    <w:rsid w:val="000D7ED6"/>
    <w:rsid w:val="000E1FC5"/>
    <w:rsid w:val="000E232D"/>
    <w:rsid w:val="000E57B4"/>
    <w:rsid w:val="000E5B8E"/>
    <w:rsid w:val="000E6150"/>
    <w:rsid w:val="000E6F51"/>
    <w:rsid w:val="000E6F70"/>
    <w:rsid w:val="000E73FB"/>
    <w:rsid w:val="000E76F3"/>
    <w:rsid w:val="000F0043"/>
    <w:rsid w:val="000F03CB"/>
    <w:rsid w:val="000F0D83"/>
    <w:rsid w:val="000F183F"/>
    <w:rsid w:val="000F18BB"/>
    <w:rsid w:val="000F1DDA"/>
    <w:rsid w:val="000F1EA9"/>
    <w:rsid w:val="000F2295"/>
    <w:rsid w:val="000F30DC"/>
    <w:rsid w:val="000F3367"/>
    <w:rsid w:val="000F48CC"/>
    <w:rsid w:val="000F4D95"/>
    <w:rsid w:val="000F4ECB"/>
    <w:rsid w:val="000F62A9"/>
    <w:rsid w:val="000F6FCA"/>
    <w:rsid w:val="000F7A63"/>
    <w:rsid w:val="00100ADB"/>
    <w:rsid w:val="00100EC0"/>
    <w:rsid w:val="00101934"/>
    <w:rsid w:val="00102749"/>
    <w:rsid w:val="00103140"/>
    <w:rsid w:val="001032C5"/>
    <w:rsid w:val="001040A4"/>
    <w:rsid w:val="00104CF3"/>
    <w:rsid w:val="00106872"/>
    <w:rsid w:val="00106AC8"/>
    <w:rsid w:val="00106D97"/>
    <w:rsid w:val="00110101"/>
    <w:rsid w:val="00111665"/>
    <w:rsid w:val="0011217D"/>
    <w:rsid w:val="0011291B"/>
    <w:rsid w:val="001134D3"/>
    <w:rsid w:val="00114D94"/>
    <w:rsid w:val="00115D9F"/>
    <w:rsid w:val="00116786"/>
    <w:rsid w:val="00116E97"/>
    <w:rsid w:val="00117839"/>
    <w:rsid w:val="00120AEF"/>
    <w:rsid w:val="00120D83"/>
    <w:rsid w:val="001215BD"/>
    <w:rsid w:val="00121884"/>
    <w:rsid w:val="00122310"/>
    <w:rsid w:val="00122905"/>
    <w:rsid w:val="001239EC"/>
    <w:rsid w:val="0012579F"/>
    <w:rsid w:val="00125CD3"/>
    <w:rsid w:val="0012709E"/>
    <w:rsid w:val="00127688"/>
    <w:rsid w:val="00127DDF"/>
    <w:rsid w:val="0013089C"/>
    <w:rsid w:val="00130DC3"/>
    <w:rsid w:val="00131868"/>
    <w:rsid w:val="001321C9"/>
    <w:rsid w:val="00133EF7"/>
    <w:rsid w:val="00134421"/>
    <w:rsid w:val="0013475E"/>
    <w:rsid w:val="00134927"/>
    <w:rsid w:val="00134C6E"/>
    <w:rsid w:val="00135F8B"/>
    <w:rsid w:val="001371F1"/>
    <w:rsid w:val="00137543"/>
    <w:rsid w:val="0013761A"/>
    <w:rsid w:val="00137A9B"/>
    <w:rsid w:val="0014034C"/>
    <w:rsid w:val="0014091B"/>
    <w:rsid w:val="00141A9C"/>
    <w:rsid w:val="00143C45"/>
    <w:rsid w:val="00144247"/>
    <w:rsid w:val="00144562"/>
    <w:rsid w:val="00145645"/>
    <w:rsid w:val="00147A67"/>
    <w:rsid w:val="00147CBB"/>
    <w:rsid w:val="00150593"/>
    <w:rsid w:val="00150CC0"/>
    <w:rsid w:val="00150F77"/>
    <w:rsid w:val="00151EC0"/>
    <w:rsid w:val="00151FEF"/>
    <w:rsid w:val="00153D17"/>
    <w:rsid w:val="00154518"/>
    <w:rsid w:val="001548EC"/>
    <w:rsid w:val="00154D84"/>
    <w:rsid w:val="0015602B"/>
    <w:rsid w:val="00156A86"/>
    <w:rsid w:val="001576A0"/>
    <w:rsid w:val="00160223"/>
    <w:rsid w:val="00161025"/>
    <w:rsid w:val="00162A20"/>
    <w:rsid w:val="001634C8"/>
    <w:rsid w:val="00164C99"/>
    <w:rsid w:val="00165295"/>
    <w:rsid w:val="00167C7E"/>
    <w:rsid w:val="00170672"/>
    <w:rsid w:val="00170692"/>
    <w:rsid w:val="00171CDF"/>
    <w:rsid w:val="00172BFF"/>
    <w:rsid w:val="00173271"/>
    <w:rsid w:val="00174A0D"/>
    <w:rsid w:val="00174ACA"/>
    <w:rsid w:val="0017531A"/>
    <w:rsid w:val="00175682"/>
    <w:rsid w:val="00175685"/>
    <w:rsid w:val="00175BB7"/>
    <w:rsid w:val="00175DC8"/>
    <w:rsid w:val="0017653F"/>
    <w:rsid w:val="00177CE3"/>
    <w:rsid w:val="001811EF"/>
    <w:rsid w:val="00183F05"/>
    <w:rsid w:val="0018502A"/>
    <w:rsid w:val="0018512A"/>
    <w:rsid w:val="00185401"/>
    <w:rsid w:val="0018641E"/>
    <w:rsid w:val="0018735D"/>
    <w:rsid w:val="00187F98"/>
    <w:rsid w:val="001916CB"/>
    <w:rsid w:val="0019184B"/>
    <w:rsid w:val="00191F37"/>
    <w:rsid w:val="00192849"/>
    <w:rsid w:val="001938EB"/>
    <w:rsid w:val="0019407C"/>
    <w:rsid w:val="001943E3"/>
    <w:rsid w:val="001945FC"/>
    <w:rsid w:val="00195254"/>
    <w:rsid w:val="00195DA4"/>
    <w:rsid w:val="001A0B32"/>
    <w:rsid w:val="001A1033"/>
    <w:rsid w:val="001A1111"/>
    <w:rsid w:val="001A2ABF"/>
    <w:rsid w:val="001A2C66"/>
    <w:rsid w:val="001A30C7"/>
    <w:rsid w:val="001A4FF9"/>
    <w:rsid w:val="001A5050"/>
    <w:rsid w:val="001A5680"/>
    <w:rsid w:val="001A5BB6"/>
    <w:rsid w:val="001A6093"/>
    <w:rsid w:val="001A6B45"/>
    <w:rsid w:val="001A6F19"/>
    <w:rsid w:val="001B1ACB"/>
    <w:rsid w:val="001B2948"/>
    <w:rsid w:val="001B2C41"/>
    <w:rsid w:val="001B35FC"/>
    <w:rsid w:val="001B580F"/>
    <w:rsid w:val="001B59AB"/>
    <w:rsid w:val="001B6E5A"/>
    <w:rsid w:val="001B79B5"/>
    <w:rsid w:val="001C155C"/>
    <w:rsid w:val="001C1AF9"/>
    <w:rsid w:val="001C1F20"/>
    <w:rsid w:val="001C2260"/>
    <w:rsid w:val="001C2EC2"/>
    <w:rsid w:val="001C3806"/>
    <w:rsid w:val="001C7867"/>
    <w:rsid w:val="001D1236"/>
    <w:rsid w:val="001D1A39"/>
    <w:rsid w:val="001D1D55"/>
    <w:rsid w:val="001D372C"/>
    <w:rsid w:val="001D3848"/>
    <w:rsid w:val="001D534F"/>
    <w:rsid w:val="001D5F34"/>
    <w:rsid w:val="001D7A64"/>
    <w:rsid w:val="001E1658"/>
    <w:rsid w:val="001E2233"/>
    <w:rsid w:val="001E2733"/>
    <w:rsid w:val="001E3060"/>
    <w:rsid w:val="001E3271"/>
    <w:rsid w:val="001E41B3"/>
    <w:rsid w:val="001E58D2"/>
    <w:rsid w:val="001E6414"/>
    <w:rsid w:val="001E7246"/>
    <w:rsid w:val="001E745E"/>
    <w:rsid w:val="001E7605"/>
    <w:rsid w:val="001F2435"/>
    <w:rsid w:val="001F330C"/>
    <w:rsid w:val="001F7719"/>
    <w:rsid w:val="001F7E29"/>
    <w:rsid w:val="0020044A"/>
    <w:rsid w:val="00200B00"/>
    <w:rsid w:val="00200BDB"/>
    <w:rsid w:val="002024A3"/>
    <w:rsid w:val="00202DFB"/>
    <w:rsid w:val="002038EC"/>
    <w:rsid w:val="0020527C"/>
    <w:rsid w:val="0020738B"/>
    <w:rsid w:val="00207E49"/>
    <w:rsid w:val="00212195"/>
    <w:rsid w:val="0021250D"/>
    <w:rsid w:val="00212DBE"/>
    <w:rsid w:val="002151EF"/>
    <w:rsid w:val="002156E3"/>
    <w:rsid w:val="00215951"/>
    <w:rsid w:val="00216830"/>
    <w:rsid w:val="00216A39"/>
    <w:rsid w:val="00217887"/>
    <w:rsid w:val="00221050"/>
    <w:rsid w:val="00221D89"/>
    <w:rsid w:val="00221FBF"/>
    <w:rsid w:val="00222476"/>
    <w:rsid w:val="00222C2C"/>
    <w:rsid w:val="002237C9"/>
    <w:rsid w:val="00223F31"/>
    <w:rsid w:val="0022432C"/>
    <w:rsid w:val="00224D21"/>
    <w:rsid w:val="00225570"/>
    <w:rsid w:val="00225E26"/>
    <w:rsid w:val="002264E7"/>
    <w:rsid w:val="00226D80"/>
    <w:rsid w:val="00227EDA"/>
    <w:rsid w:val="002300BA"/>
    <w:rsid w:val="0023151D"/>
    <w:rsid w:val="00233000"/>
    <w:rsid w:val="002335B3"/>
    <w:rsid w:val="0023392C"/>
    <w:rsid w:val="0023415C"/>
    <w:rsid w:val="00234E92"/>
    <w:rsid w:val="002352EE"/>
    <w:rsid w:val="00235681"/>
    <w:rsid w:val="00236424"/>
    <w:rsid w:val="00236ADA"/>
    <w:rsid w:val="00242CBE"/>
    <w:rsid w:val="0024410E"/>
    <w:rsid w:val="00244679"/>
    <w:rsid w:val="00244CEF"/>
    <w:rsid w:val="0024617A"/>
    <w:rsid w:val="00246F1F"/>
    <w:rsid w:val="002508F3"/>
    <w:rsid w:val="00251F07"/>
    <w:rsid w:val="00252D87"/>
    <w:rsid w:val="0025432F"/>
    <w:rsid w:val="002549A1"/>
    <w:rsid w:val="00254E2C"/>
    <w:rsid w:val="00257014"/>
    <w:rsid w:val="002578DA"/>
    <w:rsid w:val="00261514"/>
    <w:rsid w:val="002616E4"/>
    <w:rsid w:val="00262593"/>
    <w:rsid w:val="00265049"/>
    <w:rsid w:val="00266E28"/>
    <w:rsid w:val="002670E5"/>
    <w:rsid w:val="00270614"/>
    <w:rsid w:val="00270ABB"/>
    <w:rsid w:val="00271D8F"/>
    <w:rsid w:val="00271FFB"/>
    <w:rsid w:val="002720A5"/>
    <w:rsid w:val="00273D67"/>
    <w:rsid w:val="002761CC"/>
    <w:rsid w:val="002761EE"/>
    <w:rsid w:val="0027661C"/>
    <w:rsid w:val="00276956"/>
    <w:rsid w:val="00276CAE"/>
    <w:rsid w:val="0027748C"/>
    <w:rsid w:val="00277886"/>
    <w:rsid w:val="0028038A"/>
    <w:rsid w:val="00281204"/>
    <w:rsid w:val="0028235E"/>
    <w:rsid w:val="0028290B"/>
    <w:rsid w:val="00284539"/>
    <w:rsid w:val="0028621B"/>
    <w:rsid w:val="00286D2F"/>
    <w:rsid w:val="00291DFB"/>
    <w:rsid w:val="00293C9A"/>
    <w:rsid w:val="00293CBE"/>
    <w:rsid w:val="002946CC"/>
    <w:rsid w:val="00295892"/>
    <w:rsid w:val="002959B1"/>
    <w:rsid w:val="002A01BC"/>
    <w:rsid w:val="002A0675"/>
    <w:rsid w:val="002A0932"/>
    <w:rsid w:val="002A0F45"/>
    <w:rsid w:val="002A1F20"/>
    <w:rsid w:val="002A269F"/>
    <w:rsid w:val="002A28A2"/>
    <w:rsid w:val="002A2B9A"/>
    <w:rsid w:val="002A370C"/>
    <w:rsid w:val="002A3E63"/>
    <w:rsid w:val="002A5B78"/>
    <w:rsid w:val="002A66EE"/>
    <w:rsid w:val="002A6815"/>
    <w:rsid w:val="002A758B"/>
    <w:rsid w:val="002A798D"/>
    <w:rsid w:val="002B1BA1"/>
    <w:rsid w:val="002B258E"/>
    <w:rsid w:val="002B475C"/>
    <w:rsid w:val="002B5B30"/>
    <w:rsid w:val="002B6BC1"/>
    <w:rsid w:val="002B71DC"/>
    <w:rsid w:val="002C0728"/>
    <w:rsid w:val="002C2412"/>
    <w:rsid w:val="002C4CA1"/>
    <w:rsid w:val="002C4E53"/>
    <w:rsid w:val="002C60D6"/>
    <w:rsid w:val="002C6B92"/>
    <w:rsid w:val="002C7E80"/>
    <w:rsid w:val="002D1571"/>
    <w:rsid w:val="002D2318"/>
    <w:rsid w:val="002D3067"/>
    <w:rsid w:val="002D3BD7"/>
    <w:rsid w:val="002D5994"/>
    <w:rsid w:val="002D6AFB"/>
    <w:rsid w:val="002E020E"/>
    <w:rsid w:val="002E06C5"/>
    <w:rsid w:val="002E26C1"/>
    <w:rsid w:val="002E2ED7"/>
    <w:rsid w:val="002E381E"/>
    <w:rsid w:val="002E39E3"/>
    <w:rsid w:val="002E4EEA"/>
    <w:rsid w:val="002F0253"/>
    <w:rsid w:val="002F0698"/>
    <w:rsid w:val="002F101C"/>
    <w:rsid w:val="002F11CF"/>
    <w:rsid w:val="002F25D6"/>
    <w:rsid w:val="002F44F5"/>
    <w:rsid w:val="002F4D02"/>
    <w:rsid w:val="002F51ED"/>
    <w:rsid w:val="002F7A90"/>
    <w:rsid w:val="003015A0"/>
    <w:rsid w:val="00301E28"/>
    <w:rsid w:val="00302BE4"/>
    <w:rsid w:val="00302C46"/>
    <w:rsid w:val="00303F0A"/>
    <w:rsid w:val="00304178"/>
    <w:rsid w:val="00304A34"/>
    <w:rsid w:val="00304A5C"/>
    <w:rsid w:val="00304E47"/>
    <w:rsid w:val="00304F0E"/>
    <w:rsid w:val="00305D83"/>
    <w:rsid w:val="003062D7"/>
    <w:rsid w:val="0030635E"/>
    <w:rsid w:val="0030695F"/>
    <w:rsid w:val="003070DE"/>
    <w:rsid w:val="003074BC"/>
    <w:rsid w:val="003076B6"/>
    <w:rsid w:val="00307E52"/>
    <w:rsid w:val="003106C4"/>
    <w:rsid w:val="00310E66"/>
    <w:rsid w:val="003124D6"/>
    <w:rsid w:val="0031341F"/>
    <w:rsid w:val="0031503C"/>
    <w:rsid w:val="003158A9"/>
    <w:rsid w:val="0031614E"/>
    <w:rsid w:val="003175F2"/>
    <w:rsid w:val="00317BAD"/>
    <w:rsid w:val="003257FC"/>
    <w:rsid w:val="0032696C"/>
    <w:rsid w:val="00330886"/>
    <w:rsid w:val="0033208A"/>
    <w:rsid w:val="00333B4D"/>
    <w:rsid w:val="003344A3"/>
    <w:rsid w:val="0033481C"/>
    <w:rsid w:val="00334A99"/>
    <w:rsid w:val="00334B5A"/>
    <w:rsid w:val="00336599"/>
    <w:rsid w:val="00337494"/>
    <w:rsid w:val="00337A13"/>
    <w:rsid w:val="00341067"/>
    <w:rsid w:val="003419BA"/>
    <w:rsid w:val="003451BB"/>
    <w:rsid w:val="003465A2"/>
    <w:rsid w:val="00346992"/>
    <w:rsid w:val="00346C0C"/>
    <w:rsid w:val="00346FA2"/>
    <w:rsid w:val="0035140A"/>
    <w:rsid w:val="00351EC9"/>
    <w:rsid w:val="003523B5"/>
    <w:rsid w:val="003554E3"/>
    <w:rsid w:val="00357EB4"/>
    <w:rsid w:val="00357EBF"/>
    <w:rsid w:val="0036040E"/>
    <w:rsid w:val="00363204"/>
    <w:rsid w:val="0036374A"/>
    <w:rsid w:val="00363C1D"/>
    <w:rsid w:val="00363E21"/>
    <w:rsid w:val="00365577"/>
    <w:rsid w:val="0036570B"/>
    <w:rsid w:val="00365A8A"/>
    <w:rsid w:val="00366154"/>
    <w:rsid w:val="00366734"/>
    <w:rsid w:val="00366877"/>
    <w:rsid w:val="00367863"/>
    <w:rsid w:val="00367BA3"/>
    <w:rsid w:val="003716AF"/>
    <w:rsid w:val="0037300E"/>
    <w:rsid w:val="00373F6E"/>
    <w:rsid w:val="00374EC3"/>
    <w:rsid w:val="00376BEC"/>
    <w:rsid w:val="00380364"/>
    <w:rsid w:val="00381C36"/>
    <w:rsid w:val="00382D3E"/>
    <w:rsid w:val="003859F4"/>
    <w:rsid w:val="00387140"/>
    <w:rsid w:val="00387667"/>
    <w:rsid w:val="00387DC5"/>
    <w:rsid w:val="003912DD"/>
    <w:rsid w:val="00391C68"/>
    <w:rsid w:val="00391FF8"/>
    <w:rsid w:val="003927C9"/>
    <w:rsid w:val="00392878"/>
    <w:rsid w:val="0039334D"/>
    <w:rsid w:val="00393625"/>
    <w:rsid w:val="00394D16"/>
    <w:rsid w:val="0039565C"/>
    <w:rsid w:val="00395770"/>
    <w:rsid w:val="003967FB"/>
    <w:rsid w:val="0039760D"/>
    <w:rsid w:val="00397A4B"/>
    <w:rsid w:val="00397A69"/>
    <w:rsid w:val="00397EE0"/>
    <w:rsid w:val="003A12AE"/>
    <w:rsid w:val="003A3670"/>
    <w:rsid w:val="003A372D"/>
    <w:rsid w:val="003A4097"/>
    <w:rsid w:val="003A41DB"/>
    <w:rsid w:val="003A5DEA"/>
    <w:rsid w:val="003A7D61"/>
    <w:rsid w:val="003B04AA"/>
    <w:rsid w:val="003B0592"/>
    <w:rsid w:val="003B4584"/>
    <w:rsid w:val="003B69A8"/>
    <w:rsid w:val="003B6FCE"/>
    <w:rsid w:val="003C2FF8"/>
    <w:rsid w:val="003C3362"/>
    <w:rsid w:val="003C4019"/>
    <w:rsid w:val="003C46B6"/>
    <w:rsid w:val="003C53C7"/>
    <w:rsid w:val="003C5A64"/>
    <w:rsid w:val="003C65A5"/>
    <w:rsid w:val="003C6EB2"/>
    <w:rsid w:val="003D0317"/>
    <w:rsid w:val="003D1033"/>
    <w:rsid w:val="003D17D1"/>
    <w:rsid w:val="003D2402"/>
    <w:rsid w:val="003D2910"/>
    <w:rsid w:val="003D2CF0"/>
    <w:rsid w:val="003D314C"/>
    <w:rsid w:val="003D3220"/>
    <w:rsid w:val="003D3AA0"/>
    <w:rsid w:val="003E01A7"/>
    <w:rsid w:val="003E08C3"/>
    <w:rsid w:val="003E0AEB"/>
    <w:rsid w:val="003E1869"/>
    <w:rsid w:val="003E1E55"/>
    <w:rsid w:val="003E2A7D"/>
    <w:rsid w:val="003E2EC9"/>
    <w:rsid w:val="003E331C"/>
    <w:rsid w:val="003E366C"/>
    <w:rsid w:val="003E4D52"/>
    <w:rsid w:val="003E557C"/>
    <w:rsid w:val="003E6D6D"/>
    <w:rsid w:val="003E7A77"/>
    <w:rsid w:val="003E7F50"/>
    <w:rsid w:val="003F09A4"/>
    <w:rsid w:val="003F1CEB"/>
    <w:rsid w:val="003F2714"/>
    <w:rsid w:val="003F284C"/>
    <w:rsid w:val="003F339C"/>
    <w:rsid w:val="003F617D"/>
    <w:rsid w:val="003F6981"/>
    <w:rsid w:val="003F7B30"/>
    <w:rsid w:val="003F7FB4"/>
    <w:rsid w:val="00400DEE"/>
    <w:rsid w:val="004021D5"/>
    <w:rsid w:val="0040274E"/>
    <w:rsid w:val="00403CCD"/>
    <w:rsid w:val="00404A50"/>
    <w:rsid w:val="0040562B"/>
    <w:rsid w:val="00411C96"/>
    <w:rsid w:val="00412029"/>
    <w:rsid w:val="004121F2"/>
    <w:rsid w:val="00413B02"/>
    <w:rsid w:val="004207BB"/>
    <w:rsid w:val="004210F2"/>
    <w:rsid w:val="004217F8"/>
    <w:rsid w:val="00421DD9"/>
    <w:rsid w:val="0042389A"/>
    <w:rsid w:val="00424931"/>
    <w:rsid w:val="00424BAD"/>
    <w:rsid w:val="00425866"/>
    <w:rsid w:val="004273D6"/>
    <w:rsid w:val="00430C17"/>
    <w:rsid w:val="004313B1"/>
    <w:rsid w:val="00431F59"/>
    <w:rsid w:val="00432925"/>
    <w:rsid w:val="004331E6"/>
    <w:rsid w:val="00433984"/>
    <w:rsid w:val="004368A1"/>
    <w:rsid w:val="00437CF5"/>
    <w:rsid w:val="00440344"/>
    <w:rsid w:val="0044059B"/>
    <w:rsid w:val="00440E1A"/>
    <w:rsid w:val="00442FCA"/>
    <w:rsid w:val="00444E38"/>
    <w:rsid w:val="00445049"/>
    <w:rsid w:val="00445132"/>
    <w:rsid w:val="00445713"/>
    <w:rsid w:val="00446DDB"/>
    <w:rsid w:val="00447020"/>
    <w:rsid w:val="0044794C"/>
    <w:rsid w:val="00447D87"/>
    <w:rsid w:val="00451B4D"/>
    <w:rsid w:val="00451C13"/>
    <w:rsid w:val="004529A5"/>
    <w:rsid w:val="00457434"/>
    <w:rsid w:val="00460A4A"/>
    <w:rsid w:val="00462107"/>
    <w:rsid w:val="00462492"/>
    <w:rsid w:val="0046251C"/>
    <w:rsid w:val="00462BFA"/>
    <w:rsid w:val="004653FA"/>
    <w:rsid w:val="00465E3D"/>
    <w:rsid w:val="004662BD"/>
    <w:rsid w:val="00467212"/>
    <w:rsid w:val="00467903"/>
    <w:rsid w:val="004720B2"/>
    <w:rsid w:val="00472414"/>
    <w:rsid w:val="004731D5"/>
    <w:rsid w:val="004736FA"/>
    <w:rsid w:val="00473C67"/>
    <w:rsid w:val="0047638E"/>
    <w:rsid w:val="004774D5"/>
    <w:rsid w:val="00477CD7"/>
    <w:rsid w:val="00477EAD"/>
    <w:rsid w:val="00481C79"/>
    <w:rsid w:val="0048216E"/>
    <w:rsid w:val="00483A67"/>
    <w:rsid w:val="004848D1"/>
    <w:rsid w:val="004849A0"/>
    <w:rsid w:val="00484DEA"/>
    <w:rsid w:val="004853EC"/>
    <w:rsid w:val="0048576D"/>
    <w:rsid w:val="004863FA"/>
    <w:rsid w:val="00486F33"/>
    <w:rsid w:val="00487613"/>
    <w:rsid w:val="00487BE0"/>
    <w:rsid w:val="00487E06"/>
    <w:rsid w:val="004905DE"/>
    <w:rsid w:val="00490B27"/>
    <w:rsid w:val="00490D02"/>
    <w:rsid w:val="00491312"/>
    <w:rsid w:val="0049174B"/>
    <w:rsid w:val="00491909"/>
    <w:rsid w:val="00491A0E"/>
    <w:rsid w:val="004925FA"/>
    <w:rsid w:val="0049265A"/>
    <w:rsid w:val="00493C32"/>
    <w:rsid w:val="004945EF"/>
    <w:rsid w:val="00494895"/>
    <w:rsid w:val="00494F22"/>
    <w:rsid w:val="004971D1"/>
    <w:rsid w:val="004A10D6"/>
    <w:rsid w:val="004A2703"/>
    <w:rsid w:val="004A3234"/>
    <w:rsid w:val="004A406E"/>
    <w:rsid w:val="004A4354"/>
    <w:rsid w:val="004A44AF"/>
    <w:rsid w:val="004A4D93"/>
    <w:rsid w:val="004A7213"/>
    <w:rsid w:val="004B2C55"/>
    <w:rsid w:val="004B2E85"/>
    <w:rsid w:val="004B3614"/>
    <w:rsid w:val="004B4F54"/>
    <w:rsid w:val="004B5E6B"/>
    <w:rsid w:val="004B6783"/>
    <w:rsid w:val="004B6851"/>
    <w:rsid w:val="004B692C"/>
    <w:rsid w:val="004B6BB8"/>
    <w:rsid w:val="004B6E55"/>
    <w:rsid w:val="004C0A1B"/>
    <w:rsid w:val="004C1984"/>
    <w:rsid w:val="004C2A95"/>
    <w:rsid w:val="004C2FAB"/>
    <w:rsid w:val="004C3694"/>
    <w:rsid w:val="004C43B4"/>
    <w:rsid w:val="004C52D0"/>
    <w:rsid w:val="004C52DB"/>
    <w:rsid w:val="004C633D"/>
    <w:rsid w:val="004C7085"/>
    <w:rsid w:val="004D148F"/>
    <w:rsid w:val="004D2082"/>
    <w:rsid w:val="004D4145"/>
    <w:rsid w:val="004D491E"/>
    <w:rsid w:val="004D582B"/>
    <w:rsid w:val="004D5F8B"/>
    <w:rsid w:val="004D6C14"/>
    <w:rsid w:val="004E2700"/>
    <w:rsid w:val="004E27E3"/>
    <w:rsid w:val="004E34F4"/>
    <w:rsid w:val="004E533B"/>
    <w:rsid w:val="004E55DF"/>
    <w:rsid w:val="004E5F1C"/>
    <w:rsid w:val="004E6880"/>
    <w:rsid w:val="004E712C"/>
    <w:rsid w:val="004E717F"/>
    <w:rsid w:val="004E7C80"/>
    <w:rsid w:val="004F256C"/>
    <w:rsid w:val="004F3AD2"/>
    <w:rsid w:val="004F4CB7"/>
    <w:rsid w:val="004F51E4"/>
    <w:rsid w:val="004F66B2"/>
    <w:rsid w:val="0050235B"/>
    <w:rsid w:val="00502FB3"/>
    <w:rsid w:val="00504972"/>
    <w:rsid w:val="0050510F"/>
    <w:rsid w:val="005106D4"/>
    <w:rsid w:val="00510860"/>
    <w:rsid w:val="00512267"/>
    <w:rsid w:val="00513B1F"/>
    <w:rsid w:val="00513C33"/>
    <w:rsid w:val="005140D0"/>
    <w:rsid w:val="0051430C"/>
    <w:rsid w:val="00515BBA"/>
    <w:rsid w:val="005173AF"/>
    <w:rsid w:val="00520967"/>
    <w:rsid w:val="00521775"/>
    <w:rsid w:val="00523E2B"/>
    <w:rsid w:val="00523F66"/>
    <w:rsid w:val="005241E6"/>
    <w:rsid w:val="005244FB"/>
    <w:rsid w:val="00524A23"/>
    <w:rsid w:val="0052544D"/>
    <w:rsid w:val="00525E6A"/>
    <w:rsid w:val="005267E5"/>
    <w:rsid w:val="00526B6A"/>
    <w:rsid w:val="00526CF6"/>
    <w:rsid w:val="005276B2"/>
    <w:rsid w:val="00530FF5"/>
    <w:rsid w:val="00531D06"/>
    <w:rsid w:val="005324BD"/>
    <w:rsid w:val="0053503F"/>
    <w:rsid w:val="00535D12"/>
    <w:rsid w:val="0053610C"/>
    <w:rsid w:val="0053651D"/>
    <w:rsid w:val="005366E5"/>
    <w:rsid w:val="0053750D"/>
    <w:rsid w:val="0053785A"/>
    <w:rsid w:val="00541360"/>
    <w:rsid w:val="005425B7"/>
    <w:rsid w:val="005432C6"/>
    <w:rsid w:val="00544B97"/>
    <w:rsid w:val="00545B6F"/>
    <w:rsid w:val="00545F5B"/>
    <w:rsid w:val="00550E10"/>
    <w:rsid w:val="0055219C"/>
    <w:rsid w:val="00553283"/>
    <w:rsid w:val="0055445D"/>
    <w:rsid w:val="00554E85"/>
    <w:rsid w:val="0055565A"/>
    <w:rsid w:val="00555AC9"/>
    <w:rsid w:val="005575FD"/>
    <w:rsid w:val="005610FE"/>
    <w:rsid w:val="005619F4"/>
    <w:rsid w:val="0056251E"/>
    <w:rsid w:val="00562830"/>
    <w:rsid w:val="00564555"/>
    <w:rsid w:val="005646CE"/>
    <w:rsid w:val="00565EDF"/>
    <w:rsid w:val="00566372"/>
    <w:rsid w:val="0056716B"/>
    <w:rsid w:val="0057190D"/>
    <w:rsid w:val="00573042"/>
    <w:rsid w:val="005733EA"/>
    <w:rsid w:val="00575D89"/>
    <w:rsid w:val="00576DD5"/>
    <w:rsid w:val="005774F8"/>
    <w:rsid w:val="0058120F"/>
    <w:rsid w:val="00581245"/>
    <w:rsid w:val="00582411"/>
    <w:rsid w:val="00582747"/>
    <w:rsid w:val="00582A8E"/>
    <w:rsid w:val="0058382B"/>
    <w:rsid w:val="00583C92"/>
    <w:rsid w:val="005853C7"/>
    <w:rsid w:val="00586323"/>
    <w:rsid w:val="00586620"/>
    <w:rsid w:val="0059391F"/>
    <w:rsid w:val="00593C76"/>
    <w:rsid w:val="00593F15"/>
    <w:rsid w:val="005944FE"/>
    <w:rsid w:val="0059513E"/>
    <w:rsid w:val="00595A4D"/>
    <w:rsid w:val="00597ED1"/>
    <w:rsid w:val="005A3D4E"/>
    <w:rsid w:val="005A4C44"/>
    <w:rsid w:val="005A532C"/>
    <w:rsid w:val="005A56C5"/>
    <w:rsid w:val="005A5CAB"/>
    <w:rsid w:val="005A5E89"/>
    <w:rsid w:val="005B1BC4"/>
    <w:rsid w:val="005B24E4"/>
    <w:rsid w:val="005B35C0"/>
    <w:rsid w:val="005B3F40"/>
    <w:rsid w:val="005B4092"/>
    <w:rsid w:val="005B736F"/>
    <w:rsid w:val="005B7EAC"/>
    <w:rsid w:val="005C0699"/>
    <w:rsid w:val="005C0A15"/>
    <w:rsid w:val="005C0FAC"/>
    <w:rsid w:val="005C1D7E"/>
    <w:rsid w:val="005C26A8"/>
    <w:rsid w:val="005C2AE2"/>
    <w:rsid w:val="005C39DF"/>
    <w:rsid w:val="005C3C63"/>
    <w:rsid w:val="005C4EA1"/>
    <w:rsid w:val="005C552A"/>
    <w:rsid w:val="005C599F"/>
    <w:rsid w:val="005C705F"/>
    <w:rsid w:val="005D1B50"/>
    <w:rsid w:val="005D1CD0"/>
    <w:rsid w:val="005D45A9"/>
    <w:rsid w:val="005D5A66"/>
    <w:rsid w:val="005D5F1E"/>
    <w:rsid w:val="005D60C4"/>
    <w:rsid w:val="005D60D6"/>
    <w:rsid w:val="005D6871"/>
    <w:rsid w:val="005D6B77"/>
    <w:rsid w:val="005D7747"/>
    <w:rsid w:val="005E0907"/>
    <w:rsid w:val="005E15CC"/>
    <w:rsid w:val="005E1AC6"/>
    <w:rsid w:val="005E3A28"/>
    <w:rsid w:val="005E5FFA"/>
    <w:rsid w:val="005E602E"/>
    <w:rsid w:val="005E6DEF"/>
    <w:rsid w:val="005E7C14"/>
    <w:rsid w:val="005F00F4"/>
    <w:rsid w:val="005F0D4F"/>
    <w:rsid w:val="005F1862"/>
    <w:rsid w:val="005F2E93"/>
    <w:rsid w:val="005F467C"/>
    <w:rsid w:val="005F4F55"/>
    <w:rsid w:val="005F6211"/>
    <w:rsid w:val="005F627C"/>
    <w:rsid w:val="005F6AB0"/>
    <w:rsid w:val="005F721A"/>
    <w:rsid w:val="00601175"/>
    <w:rsid w:val="0060126C"/>
    <w:rsid w:val="006012BD"/>
    <w:rsid w:val="0060275B"/>
    <w:rsid w:val="00603FF1"/>
    <w:rsid w:val="00604467"/>
    <w:rsid w:val="00605627"/>
    <w:rsid w:val="00605B0E"/>
    <w:rsid w:val="0060639D"/>
    <w:rsid w:val="00606CF5"/>
    <w:rsid w:val="00606D28"/>
    <w:rsid w:val="006077F4"/>
    <w:rsid w:val="00610E33"/>
    <w:rsid w:val="006116D7"/>
    <w:rsid w:val="006139B1"/>
    <w:rsid w:val="00614385"/>
    <w:rsid w:val="00614A64"/>
    <w:rsid w:val="006159DA"/>
    <w:rsid w:val="00617AC4"/>
    <w:rsid w:val="0062032D"/>
    <w:rsid w:val="0062230E"/>
    <w:rsid w:val="00622329"/>
    <w:rsid w:val="0062283F"/>
    <w:rsid w:val="00622854"/>
    <w:rsid w:val="00623B64"/>
    <w:rsid w:val="00623E6D"/>
    <w:rsid w:val="0062565F"/>
    <w:rsid w:val="006272C9"/>
    <w:rsid w:val="00627D02"/>
    <w:rsid w:val="00630393"/>
    <w:rsid w:val="00630881"/>
    <w:rsid w:val="00630F09"/>
    <w:rsid w:val="006317C1"/>
    <w:rsid w:val="00631F70"/>
    <w:rsid w:val="006336CF"/>
    <w:rsid w:val="00636EB2"/>
    <w:rsid w:val="00641477"/>
    <w:rsid w:val="00645FA7"/>
    <w:rsid w:val="0064641D"/>
    <w:rsid w:val="00650A1D"/>
    <w:rsid w:val="00650DD1"/>
    <w:rsid w:val="00651763"/>
    <w:rsid w:val="006560AA"/>
    <w:rsid w:val="006560F8"/>
    <w:rsid w:val="00656944"/>
    <w:rsid w:val="00663365"/>
    <w:rsid w:val="00663C3D"/>
    <w:rsid w:val="00663C89"/>
    <w:rsid w:val="006640AC"/>
    <w:rsid w:val="006642D7"/>
    <w:rsid w:val="00670346"/>
    <w:rsid w:val="00670825"/>
    <w:rsid w:val="00670CE8"/>
    <w:rsid w:val="00670F4D"/>
    <w:rsid w:val="0067181F"/>
    <w:rsid w:val="00671BE0"/>
    <w:rsid w:val="0067344C"/>
    <w:rsid w:val="00673D47"/>
    <w:rsid w:val="0067423E"/>
    <w:rsid w:val="00677192"/>
    <w:rsid w:val="0067719F"/>
    <w:rsid w:val="00681D9B"/>
    <w:rsid w:val="00683D08"/>
    <w:rsid w:val="00683EB4"/>
    <w:rsid w:val="00684436"/>
    <w:rsid w:val="0068447B"/>
    <w:rsid w:val="0068457A"/>
    <w:rsid w:val="00685655"/>
    <w:rsid w:val="0068647B"/>
    <w:rsid w:val="006865D0"/>
    <w:rsid w:val="00690170"/>
    <w:rsid w:val="006901ED"/>
    <w:rsid w:val="0069047D"/>
    <w:rsid w:val="0069211F"/>
    <w:rsid w:val="0069284F"/>
    <w:rsid w:val="006947B3"/>
    <w:rsid w:val="00694A12"/>
    <w:rsid w:val="00696219"/>
    <w:rsid w:val="006A0177"/>
    <w:rsid w:val="006A271D"/>
    <w:rsid w:val="006A2887"/>
    <w:rsid w:val="006A5EB2"/>
    <w:rsid w:val="006A63B4"/>
    <w:rsid w:val="006A67D6"/>
    <w:rsid w:val="006A682E"/>
    <w:rsid w:val="006A6BD6"/>
    <w:rsid w:val="006A710B"/>
    <w:rsid w:val="006A7E4B"/>
    <w:rsid w:val="006B008D"/>
    <w:rsid w:val="006B0E5E"/>
    <w:rsid w:val="006B391C"/>
    <w:rsid w:val="006B49E4"/>
    <w:rsid w:val="006B5F55"/>
    <w:rsid w:val="006B67C7"/>
    <w:rsid w:val="006C0EB5"/>
    <w:rsid w:val="006C2D08"/>
    <w:rsid w:val="006C2FA1"/>
    <w:rsid w:val="006C4917"/>
    <w:rsid w:val="006C5005"/>
    <w:rsid w:val="006C51D6"/>
    <w:rsid w:val="006C53DF"/>
    <w:rsid w:val="006C560E"/>
    <w:rsid w:val="006D14DB"/>
    <w:rsid w:val="006D3752"/>
    <w:rsid w:val="006D535E"/>
    <w:rsid w:val="006D583A"/>
    <w:rsid w:val="006D5D43"/>
    <w:rsid w:val="006D67E2"/>
    <w:rsid w:val="006D7986"/>
    <w:rsid w:val="006E0322"/>
    <w:rsid w:val="006E048F"/>
    <w:rsid w:val="006E1E11"/>
    <w:rsid w:val="006E2453"/>
    <w:rsid w:val="006E2D18"/>
    <w:rsid w:val="006E2D41"/>
    <w:rsid w:val="006E3C09"/>
    <w:rsid w:val="006E508A"/>
    <w:rsid w:val="006E51AA"/>
    <w:rsid w:val="006E5746"/>
    <w:rsid w:val="006E59BD"/>
    <w:rsid w:val="006E5C5C"/>
    <w:rsid w:val="006E6A77"/>
    <w:rsid w:val="006E7819"/>
    <w:rsid w:val="006E7854"/>
    <w:rsid w:val="006F0B28"/>
    <w:rsid w:val="006F26FA"/>
    <w:rsid w:val="006F29D1"/>
    <w:rsid w:val="006F2D37"/>
    <w:rsid w:val="006F2F53"/>
    <w:rsid w:val="006F3411"/>
    <w:rsid w:val="006F3777"/>
    <w:rsid w:val="006F38BE"/>
    <w:rsid w:val="006F3ECC"/>
    <w:rsid w:val="006F4D36"/>
    <w:rsid w:val="006F4F4F"/>
    <w:rsid w:val="006F52A0"/>
    <w:rsid w:val="006F69A6"/>
    <w:rsid w:val="006F6E6B"/>
    <w:rsid w:val="007007F5"/>
    <w:rsid w:val="00700AC6"/>
    <w:rsid w:val="00701BBF"/>
    <w:rsid w:val="0070205B"/>
    <w:rsid w:val="007023F6"/>
    <w:rsid w:val="00702612"/>
    <w:rsid w:val="0070337C"/>
    <w:rsid w:val="00703E86"/>
    <w:rsid w:val="007040DC"/>
    <w:rsid w:val="007052D9"/>
    <w:rsid w:val="00705ECE"/>
    <w:rsid w:val="0070659B"/>
    <w:rsid w:val="007066DB"/>
    <w:rsid w:val="00706FF7"/>
    <w:rsid w:val="00710205"/>
    <w:rsid w:val="007107AE"/>
    <w:rsid w:val="007107D2"/>
    <w:rsid w:val="007113FA"/>
    <w:rsid w:val="00712781"/>
    <w:rsid w:val="00712B1A"/>
    <w:rsid w:val="007131A2"/>
    <w:rsid w:val="0071534A"/>
    <w:rsid w:val="0071657E"/>
    <w:rsid w:val="0072159D"/>
    <w:rsid w:val="0072269B"/>
    <w:rsid w:val="0072343D"/>
    <w:rsid w:val="00723B52"/>
    <w:rsid w:val="0072572B"/>
    <w:rsid w:val="00725750"/>
    <w:rsid w:val="00726C7A"/>
    <w:rsid w:val="00727431"/>
    <w:rsid w:val="0072780D"/>
    <w:rsid w:val="00727857"/>
    <w:rsid w:val="0072795A"/>
    <w:rsid w:val="00732E0C"/>
    <w:rsid w:val="00733965"/>
    <w:rsid w:val="00734C6C"/>
    <w:rsid w:val="00735E9B"/>
    <w:rsid w:val="00735F94"/>
    <w:rsid w:val="00736760"/>
    <w:rsid w:val="0074146E"/>
    <w:rsid w:val="007415FA"/>
    <w:rsid w:val="00741C17"/>
    <w:rsid w:val="00743471"/>
    <w:rsid w:val="00744139"/>
    <w:rsid w:val="007458D6"/>
    <w:rsid w:val="007458FC"/>
    <w:rsid w:val="007503BE"/>
    <w:rsid w:val="007507B6"/>
    <w:rsid w:val="007523C0"/>
    <w:rsid w:val="007523C9"/>
    <w:rsid w:val="00754D03"/>
    <w:rsid w:val="007552C8"/>
    <w:rsid w:val="00756F3C"/>
    <w:rsid w:val="007573E8"/>
    <w:rsid w:val="00760EC2"/>
    <w:rsid w:val="00761AF5"/>
    <w:rsid w:val="0076200F"/>
    <w:rsid w:val="0076634B"/>
    <w:rsid w:val="0076645A"/>
    <w:rsid w:val="007673D3"/>
    <w:rsid w:val="0076745F"/>
    <w:rsid w:val="007674D7"/>
    <w:rsid w:val="00767A4F"/>
    <w:rsid w:val="00767B38"/>
    <w:rsid w:val="00767E29"/>
    <w:rsid w:val="0077065B"/>
    <w:rsid w:val="00770C0B"/>
    <w:rsid w:val="00770EF6"/>
    <w:rsid w:val="007727E3"/>
    <w:rsid w:val="0077335B"/>
    <w:rsid w:val="00773786"/>
    <w:rsid w:val="0077628A"/>
    <w:rsid w:val="00776746"/>
    <w:rsid w:val="007768A3"/>
    <w:rsid w:val="0077697C"/>
    <w:rsid w:val="0078053A"/>
    <w:rsid w:val="00783369"/>
    <w:rsid w:val="007842B8"/>
    <w:rsid w:val="007843F1"/>
    <w:rsid w:val="0078596D"/>
    <w:rsid w:val="00785BA1"/>
    <w:rsid w:val="00787514"/>
    <w:rsid w:val="007876E0"/>
    <w:rsid w:val="00787E3A"/>
    <w:rsid w:val="00791918"/>
    <w:rsid w:val="00792754"/>
    <w:rsid w:val="00793C26"/>
    <w:rsid w:val="007952D8"/>
    <w:rsid w:val="0079594F"/>
    <w:rsid w:val="007A0211"/>
    <w:rsid w:val="007A03AA"/>
    <w:rsid w:val="007A1999"/>
    <w:rsid w:val="007A283E"/>
    <w:rsid w:val="007A2897"/>
    <w:rsid w:val="007A29A6"/>
    <w:rsid w:val="007A439F"/>
    <w:rsid w:val="007A43EF"/>
    <w:rsid w:val="007A4AD9"/>
    <w:rsid w:val="007A568F"/>
    <w:rsid w:val="007A59F5"/>
    <w:rsid w:val="007A6A00"/>
    <w:rsid w:val="007A6E83"/>
    <w:rsid w:val="007A75C5"/>
    <w:rsid w:val="007A7D5F"/>
    <w:rsid w:val="007B0259"/>
    <w:rsid w:val="007B0B5A"/>
    <w:rsid w:val="007B1154"/>
    <w:rsid w:val="007B341F"/>
    <w:rsid w:val="007B44D5"/>
    <w:rsid w:val="007B45D7"/>
    <w:rsid w:val="007B56B6"/>
    <w:rsid w:val="007B5CC2"/>
    <w:rsid w:val="007B780A"/>
    <w:rsid w:val="007C020E"/>
    <w:rsid w:val="007C0505"/>
    <w:rsid w:val="007C1782"/>
    <w:rsid w:val="007C1F04"/>
    <w:rsid w:val="007C4627"/>
    <w:rsid w:val="007C6907"/>
    <w:rsid w:val="007C6B89"/>
    <w:rsid w:val="007C70B7"/>
    <w:rsid w:val="007C70E6"/>
    <w:rsid w:val="007C7575"/>
    <w:rsid w:val="007D0011"/>
    <w:rsid w:val="007D1D6F"/>
    <w:rsid w:val="007D1E68"/>
    <w:rsid w:val="007D32CB"/>
    <w:rsid w:val="007D360B"/>
    <w:rsid w:val="007D5F0B"/>
    <w:rsid w:val="007D61B6"/>
    <w:rsid w:val="007D7176"/>
    <w:rsid w:val="007E0733"/>
    <w:rsid w:val="007E078F"/>
    <w:rsid w:val="007E0A33"/>
    <w:rsid w:val="007E138F"/>
    <w:rsid w:val="007E1A84"/>
    <w:rsid w:val="007E2DE5"/>
    <w:rsid w:val="007E3728"/>
    <w:rsid w:val="007E4C13"/>
    <w:rsid w:val="007E5261"/>
    <w:rsid w:val="007E6C9D"/>
    <w:rsid w:val="007E6CBD"/>
    <w:rsid w:val="007E74D4"/>
    <w:rsid w:val="007F04B6"/>
    <w:rsid w:val="007F0A7F"/>
    <w:rsid w:val="007F0BFA"/>
    <w:rsid w:val="007F3154"/>
    <w:rsid w:val="007F31D1"/>
    <w:rsid w:val="007F3AC7"/>
    <w:rsid w:val="007F5E3E"/>
    <w:rsid w:val="007F6701"/>
    <w:rsid w:val="007F7558"/>
    <w:rsid w:val="007F77F8"/>
    <w:rsid w:val="007F7BB0"/>
    <w:rsid w:val="00801DA4"/>
    <w:rsid w:val="00801DCB"/>
    <w:rsid w:val="00801FC9"/>
    <w:rsid w:val="00802671"/>
    <w:rsid w:val="008027CF"/>
    <w:rsid w:val="00802EBD"/>
    <w:rsid w:val="00803B6E"/>
    <w:rsid w:val="0080412C"/>
    <w:rsid w:val="00804262"/>
    <w:rsid w:val="00804E10"/>
    <w:rsid w:val="00806D13"/>
    <w:rsid w:val="00806F9E"/>
    <w:rsid w:val="0080706C"/>
    <w:rsid w:val="00807DA5"/>
    <w:rsid w:val="00807E73"/>
    <w:rsid w:val="00810955"/>
    <w:rsid w:val="00810C0D"/>
    <w:rsid w:val="0081129D"/>
    <w:rsid w:val="0081158F"/>
    <w:rsid w:val="008116A7"/>
    <w:rsid w:val="00812BA8"/>
    <w:rsid w:val="00814E43"/>
    <w:rsid w:val="00814FD6"/>
    <w:rsid w:val="00815AD3"/>
    <w:rsid w:val="00815AD7"/>
    <w:rsid w:val="00815E35"/>
    <w:rsid w:val="008161BB"/>
    <w:rsid w:val="00816F3F"/>
    <w:rsid w:val="008176A2"/>
    <w:rsid w:val="00817865"/>
    <w:rsid w:val="00820018"/>
    <w:rsid w:val="00821865"/>
    <w:rsid w:val="00822885"/>
    <w:rsid w:val="008229D3"/>
    <w:rsid w:val="008247E3"/>
    <w:rsid w:val="00825017"/>
    <w:rsid w:val="008250E9"/>
    <w:rsid w:val="00825940"/>
    <w:rsid w:val="008265B5"/>
    <w:rsid w:val="008265CD"/>
    <w:rsid w:val="00826B79"/>
    <w:rsid w:val="00830AF8"/>
    <w:rsid w:val="0083275E"/>
    <w:rsid w:val="00833F19"/>
    <w:rsid w:val="00834161"/>
    <w:rsid w:val="008347A9"/>
    <w:rsid w:val="00837E20"/>
    <w:rsid w:val="00837EDE"/>
    <w:rsid w:val="008428B3"/>
    <w:rsid w:val="008477D2"/>
    <w:rsid w:val="00847F10"/>
    <w:rsid w:val="0085025F"/>
    <w:rsid w:val="008509A1"/>
    <w:rsid w:val="00854C82"/>
    <w:rsid w:val="00855306"/>
    <w:rsid w:val="00857392"/>
    <w:rsid w:val="00857431"/>
    <w:rsid w:val="0086015F"/>
    <w:rsid w:val="008602E6"/>
    <w:rsid w:val="00861DA7"/>
    <w:rsid w:val="00862147"/>
    <w:rsid w:val="008662AA"/>
    <w:rsid w:val="00866D64"/>
    <w:rsid w:val="00867A99"/>
    <w:rsid w:val="008707BC"/>
    <w:rsid w:val="008728C0"/>
    <w:rsid w:val="00872F47"/>
    <w:rsid w:val="00874070"/>
    <w:rsid w:val="008745AD"/>
    <w:rsid w:val="0087485B"/>
    <w:rsid w:val="008755E0"/>
    <w:rsid w:val="0087594E"/>
    <w:rsid w:val="008767E5"/>
    <w:rsid w:val="008801D2"/>
    <w:rsid w:val="0088094F"/>
    <w:rsid w:val="008812C0"/>
    <w:rsid w:val="00881E55"/>
    <w:rsid w:val="00882D70"/>
    <w:rsid w:val="00884A0C"/>
    <w:rsid w:val="00884B1E"/>
    <w:rsid w:val="008858EF"/>
    <w:rsid w:val="00886C51"/>
    <w:rsid w:val="008901CE"/>
    <w:rsid w:val="008903F2"/>
    <w:rsid w:val="00890A58"/>
    <w:rsid w:val="00893D5D"/>
    <w:rsid w:val="008943F2"/>
    <w:rsid w:val="00894445"/>
    <w:rsid w:val="00895EC2"/>
    <w:rsid w:val="00896218"/>
    <w:rsid w:val="008966F3"/>
    <w:rsid w:val="00896816"/>
    <w:rsid w:val="008A0094"/>
    <w:rsid w:val="008A072D"/>
    <w:rsid w:val="008A085A"/>
    <w:rsid w:val="008A098D"/>
    <w:rsid w:val="008A1F70"/>
    <w:rsid w:val="008A27D6"/>
    <w:rsid w:val="008A354B"/>
    <w:rsid w:val="008A372C"/>
    <w:rsid w:val="008A384A"/>
    <w:rsid w:val="008A4AA3"/>
    <w:rsid w:val="008A4C3B"/>
    <w:rsid w:val="008A5383"/>
    <w:rsid w:val="008B0CB6"/>
    <w:rsid w:val="008B16D4"/>
    <w:rsid w:val="008B193B"/>
    <w:rsid w:val="008B214D"/>
    <w:rsid w:val="008B3B3B"/>
    <w:rsid w:val="008B5BAA"/>
    <w:rsid w:val="008B6F90"/>
    <w:rsid w:val="008B7E99"/>
    <w:rsid w:val="008C2405"/>
    <w:rsid w:val="008C24AC"/>
    <w:rsid w:val="008C2967"/>
    <w:rsid w:val="008C3535"/>
    <w:rsid w:val="008C6D5E"/>
    <w:rsid w:val="008C6E9B"/>
    <w:rsid w:val="008D0ECB"/>
    <w:rsid w:val="008D0EE6"/>
    <w:rsid w:val="008D294E"/>
    <w:rsid w:val="008D30B8"/>
    <w:rsid w:val="008D43CE"/>
    <w:rsid w:val="008D59B4"/>
    <w:rsid w:val="008D5E61"/>
    <w:rsid w:val="008E04CD"/>
    <w:rsid w:val="008E201A"/>
    <w:rsid w:val="008E2C8E"/>
    <w:rsid w:val="008E36A0"/>
    <w:rsid w:val="008E615E"/>
    <w:rsid w:val="008E6F13"/>
    <w:rsid w:val="008E7338"/>
    <w:rsid w:val="008E79B7"/>
    <w:rsid w:val="008F0253"/>
    <w:rsid w:val="008F02F0"/>
    <w:rsid w:val="008F0B89"/>
    <w:rsid w:val="008F0CC4"/>
    <w:rsid w:val="008F1D9F"/>
    <w:rsid w:val="008F1E4C"/>
    <w:rsid w:val="008F1FC4"/>
    <w:rsid w:val="008F33E1"/>
    <w:rsid w:val="008F6ED3"/>
    <w:rsid w:val="00900047"/>
    <w:rsid w:val="00900299"/>
    <w:rsid w:val="009003C1"/>
    <w:rsid w:val="0090060D"/>
    <w:rsid w:val="00901889"/>
    <w:rsid w:val="009018B7"/>
    <w:rsid w:val="00902BC5"/>
    <w:rsid w:val="00902BD8"/>
    <w:rsid w:val="0090613C"/>
    <w:rsid w:val="0090677E"/>
    <w:rsid w:val="00907FDF"/>
    <w:rsid w:val="009104DB"/>
    <w:rsid w:val="00913784"/>
    <w:rsid w:val="00915D64"/>
    <w:rsid w:val="009166BF"/>
    <w:rsid w:val="0091751E"/>
    <w:rsid w:val="0092075E"/>
    <w:rsid w:val="009209D1"/>
    <w:rsid w:val="00921053"/>
    <w:rsid w:val="009226E4"/>
    <w:rsid w:val="0092338A"/>
    <w:rsid w:val="00923799"/>
    <w:rsid w:val="009239FD"/>
    <w:rsid w:val="0092549C"/>
    <w:rsid w:val="00925B4B"/>
    <w:rsid w:val="00926017"/>
    <w:rsid w:val="0092721F"/>
    <w:rsid w:val="0093479F"/>
    <w:rsid w:val="00934C72"/>
    <w:rsid w:val="00934DD4"/>
    <w:rsid w:val="0093542E"/>
    <w:rsid w:val="00936035"/>
    <w:rsid w:val="00937336"/>
    <w:rsid w:val="00940784"/>
    <w:rsid w:val="009407D8"/>
    <w:rsid w:val="009417CE"/>
    <w:rsid w:val="009419FB"/>
    <w:rsid w:val="00942054"/>
    <w:rsid w:val="00942689"/>
    <w:rsid w:val="00946247"/>
    <w:rsid w:val="00946C70"/>
    <w:rsid w:val="009502D0"/>
    <w:rsid w:val="009505DE"/>
    <w:rsid w:val="00951539"/>
    <w:rsid w:val="00951A2E"/>
    <w:rsid w:val="00951B30"/>
    <w:rsid w:val="00952117"/>
    <w:rsid w:val="00953CF5"/>
    <w:rsid w:val="00953E2E"/>
    <w:rsid w:val="0095468E"/>
    <w:rsid w:val="00955313"/>
    <w:rsid w:val="009561F6"/>
    <w:rsid w:val="00957084"/>
    <w:rsid w:val="009608AC"/>
    <w:rsid w:val="00960A76"/>
    <w:rsid w:val="009614AD"/>
    <w:rsid w:val="0096259E"/>
    <w:rsid w:val="00963867"/>
    <w:rsid w:val="00965B8D"/>
    <w:rsid w:val="0096750C"/>
    <w:rsid w:val="0096783B"/>
    <w:rsid w:val="00967BEE"/>
    <w:rsid w:val="00967CA9"/>
    <w:rsid w:val="00970784"/>
    <w:rsid w:val="009709F3"/>
    <w:rsid w:val="00970F3A"/>
    <w:rsid w:val="00971329"/>
    <w:rsid w:val="009714A6"/>
    <w:rsid w:val="00971764"/>
    <w:rsid w:val="00971CF7"/>
    <w:rsid w:val="00971DC6"/>
    <w:rsid w:val="0097200E"/>
    <w:rsid w:val="00973200"/>
    <w:rsid w:val="009739FA"/>
    <w:rsid w:val="00974BB7"/>
    <w:rsid w:val="00974C03"/>
    <w:rsid w:val="00974E04"/>
    <w:rsid w:val="00976083"/>
    <w:rsid w:val="009770AD"/>
    <w:rsid w:val="0097781A"/>
    <w:rsid w:val="00977BEB"/>
    <w:rsid w:val="00980467"/>
    <w:rsid w:val="00980A5B"/>
    <w:rsid w:val="009810E2"/>
    <w:rsid w:val="00981A59"/>
    <w:rsid w:val="00981BDA"/>
    <w:rsid w:val="00983577"/>
    <w:rsid w:val="00984194"/>
    <w:rsid w:val="00984A81"/>
    <w:rsid w:val="00984B7A"/>
    <w:rsid w:val="00985AC1"/>
    <w:rsid w:val="00985CDB"/>
    <w:rsid w:val="00986AE5"/>
    <w:rsid w:val="00986BD9"/>
    <w:rsid w:val="00987758"/>
    <w:rsid w:val="00987F93"/>
    <w:rsid w:val="009901A7"/>
    <w:rsid w:val="00991AA9"/>
    <w:rsid w:val="00992E76"/>
    <w:rsid w:val="00994A1B"/>
    <w:rsid w:val="009957CA"/>
    <w:rsid w:val="00997323"/>
    <w:rsid w:val="00997D6D"/>
    <w:rsid w:val="009A1D49"/>
    <w:rsid w:val="009A421B"/>
    <w:rsid w:val="009A6252"/>
    <w:rsid w:val="009A7268"/>
    <w:rsid w:val="009A7329"/>
    <w:rsid w:val="009B0058"/>
    <w:rsid w:val="009B0E2C"/>
    <w:rsid w:val="009B0FDD"/>
    <w:rsid w:val="009B2020"/>
    <w:rsid w:val="009B2EE5"/>
    <w:rsid w:val="009B31D0"/>
    <w:rsid w:val="009B3EE9"/>
    <w:rsid w:val="009B4EA8"/>
    <w:rsid w:val="009B509F"/>
    <w:rsid w:val="009B5D28"/>
    <w:rsid w:val="009B79A0"/>
    <w:rsid w:val="009C0741"/>
    <w:rsid w:val="009C0FF6"/>
    <w:rsid w:val="009C183B"/>
    <w:rsid w:val="009C2DCB"/>
    <w:rsid w:val="009C2E47"/>
    <w:rsid w:val="009C409B"/>
    <w:rsid w:val="009C5684"/>
    <w:rsid w:val="009C711C"/>
    <w:rsid w:val="009C7E52"/>
    <w:rsid w:val="009D08A5"/>
    <w:rsid w:val="009D0DA0"/>
    <w:rsid w:val="009D4D0D"/>
    <w:rsid w:val="009D5A12"/>
    <w:rsid w:val="009D6235"/>
    <w:rsid w:val="009D7F38"/>
    <w:rsid w:val="009E2662"/>
    <w:rsid w:val="009E2D7C"/>
    <w:rsid w:val="009E3A78"/>
    <w:rsid w:val="009E3FAD"/>
    <w:rsid w:val="009E4D33"/>
    <w:rsid w:val="009E60E5"/>
    <w:rsid w:val="009E6C26"/>
    <w:rsid w:val="009E7585"/>
    <w:rsid w:val="009E77A3"/>
    <w:rsid w:val="009E78BB"/>
    <w:rsid w:val="009F2955"/>
    <w:rsid w:val="009F3029"/>
    <w:rsid w:val="009F32E1"/>
    <w:rsid w:val="009F4237"/>
    <w:rsid w:val="009F5D59"/>
    <w:rsid w:val="009F649C"/>
    <w:rsid w:val="009F64FC"/>
    <w:rsid w:val="009F69F1"/>
    <w:rsid w:val="009F7218"/>
    <w:rsid w:val="00A0098F"/>
    <w:rsid w:val="00A0120E"/>
    <w:rsid w:val="00A017C1"/>
    <w:rsid w:val="00A01CC9"/>
    <w:rsid w:val="00A02088"/>
    <w:rsid w:val="00A0247A"/>
    <w:rsid w:val="00A029EF"/>
    <w:rsid w:val="00A03B78"/>
    <w:rsid w:val="00A055BD"/>
    <w:rsid w:val="00A057EC"/>
    <w:rsid w:val="00A05CDB"/>
    <w:rsid w:val="00A0675E"/>
    <w:rsid w:val="00A1407F"/>
    <w:rsid w:val="00A142D4"/>
    <w:rsid w:val="00A15518"/>
    <w:rsid w:val="00A160DC"/>
    <w:rsid w:val="00A204D5"/>
    <w:rsid w:val="00A20EBE"/>
    <w:rsid w:val="00A2385A"/>
    <w:rsid w:val="00A25092"/>
    <w:rsid w:val="00A30E36"/>
    <w:rsid w:val="00A3101D"/>
    <w:rsid w:val="00A31CFE"/>
    <w:rsid w:val="00A34639"/>
    <w:rsid w:val="00A36A26"/>
    <w:rsid w:val="00A36AEB"/>
    <w:rsid w:val="00A37A05"/>
    <w:rsid w:val="00A37D5B"/>
    <w:rsid w:val="00A40B13"/>
    <w:rsid w:val="00A40C24"/>
    <w:rsid w:val="00A433D4"/>
    <w:rsid w:val="00A4358E"/>
    <w:rsid w:val="00A44C6A"/>
    <w:rsid w:val="00A4513D"/>
    <w:rsid w:val="00A5062B"/>
    <w:rsid w:val="00A50892"/>
    <w:rsid w:val="00A51193"/>
    <w:rsid w:val="00A518C5"/>
    <w:rsid w:val="00A53C51"/>
    <w:rsid w:val="00A545E1"/>
    <w:rsid w:val="00A54792"/>
    <w:rsid w:val="00A5536C"/>
    <w:rsid w:val="00A5674A"/>
    <w:rsid w:val="00A57777"/>
    <w:rsid w:val="00A57BA9"/>
    <w:rsid w:val="00A603D1"/>
    <w:rsid w:val="00A6084A"/>
    <w:rsid w:val="00A6211E"/>
    <w:rsid w:val="00A62D35"/>
    <w:rsid w:val="00A6353A"/>
    <w:rsid w:val="00A641D1"/>
    <w:rsid w:val="00A65D8C"/>
    <w:rsid w:val="00A661B9"/>
    <w:rsid w:val="00A6644C"/>
    <w:rsid w:val="00A70177"/>
    <w:rsid w:val="00A720FC"/>
    <w:rsid w:val="00A731CA"/>
    <w:rsid w:val="00A74766"/>
    <w:rsid w:val="00A756BF"/>
    <w:rsid w:val="00A76260"/>
    <w:rsid w:val="00A771B3"/>
    <w:rsid w:val="00A773B3"/>
    <w:rsid w:val="00A77847"/>
    <w:rsid w:val="00A82A5C"/>
    <w:rsid w:val="00A82FEF"/>
    <w:rsid w:val="00A84320"/>
    <w:rsid w:val="00A866BA"/>
    <w:rsid w:val="00A904E5"/>
    <w:rsid w:val="00A90778"/>
    <w:rsid w:val="00A90B0A"/>
    <w:rsid w:val="00A90D92"/>
    <w:rsid w:val="00A91EAB"/>
    <w:rsid w:val="00A92E8A"/>
    <w:rsid w:val="00A92EA6"/>
    <w:rsid w:val="00A92F06"/>
    <w:rsid w:val="00A9300A"/>
    <w:rsid w:val="00A9377A"/>
    <w:rsid w:val="00A93EA0"/>
    <w:rsid w:val="00A9406B"/>
    <w:rsid w:val="00A94199"/>
    <w:rsid w:val="00A97821"/>
    <w:rsid w:val="00AA3E28"/>
    <w:rsid w:val="00AA450E"/>
    <w:rsid w:val="00AB0A03"/>
    <w:rsid w:val="00AB1876"/>
    <w:rsid w:val="00AB2970"/>
    <w:rsid w:val="00AB2C91"/>
    <w:rsid w:val="00AB3B01"/>
    <w:rsid w:val="00AB3B12"/>
    <w:rsid w:val="00AB47C5"/>
    <w:rsid w:val="00AB7086"/>
    <w:rsid w:val="00AB75E3"/>
    <w:rsid w:val="00AB7699"/>
    <w:rsid w:val="00AC11B3"/>
    <w:rsid w:val="00AC2739"/>
    <w:rsid w:val="00AC4DBF"/>
    <w:rsid w:val="00AC5092"/>
    <w:rsid w:val="00AC6581"/>
    <w:rsid w:val="00AC6947"/>
    <w:rsid w:val="00AC6F65"/>
    <w:rsid w:val="00AC76C2"/>
    <w:rsid w:val="00AC7D48"/>
    <w:rsid w:val="00AD0FC0"/>
    <w:rsid w:val="00AD1632"/>
    <w:rsid w:val="00AD24AE"/>
    <w:rsid w:val="00AD2527"/>
    <w:rsid w:val="00AD320A"/>
    <w:rsid w:val="00AD3DC5"/>
    <w:rsid w:val="00AD4918"/>
    <w:rsid w:val="00AD528F"/>
    <w:rsid w:val="00AD5504"/>
    <w:rsid w:val="00AD6C03"/>
    <w:rsid w:val="00AD7149"/>
    <w:rsid w:val="00AD7F0B"/>
    <w:rsid w:val="00AE1801"/>
    <w:rsid w:val="00AE1EC5"/>
    <w:rsid w:val="00AE289F"/>
    <w:rsid w:val="00AE2E80"/>
    <w:rsid w:val="00AE33C1"/>
    <w:rsid w:val="00AE3E3C"/>
    <w:rsid w:val="00AE44C9"/>
    <w:rsid w:val="00AE4682"/>
    <w:rsid w:val="00AE57BE"/>
    <w:rsid w:val="00AF03EE"/>
    <w:rsid w:val="00AF1BC7"/>
    <w:rsid w:val="00AF28B9"/>
    <w:rsid w:val="00AF2E7F"/>
    <w:rsid w:val="00AF40A7"/>
    <w:rsid w:val="00AF4123"/>
    <w:rsid w:val="00AF41EB"/>
    <w:rsid w:val="00AF463A"/>
    <w:rsid w:val="00AF49A5"/>
    <w:rsid w:val="00AF51CE"/>
    <w:rsid w:val="00AF52FD"/>
    <w:rsid w:val="00AF621E"/>
    <w:rsid w:val="00AF65D9"/>
    <w:rsid w:val="00AF690C"/>
    <w:rsid w:val="00AF73CB"/>
    <w:rsid w:val="00AF7BCB"/>
    <w:rsid w:val="00B00872"/>
    <w:rsid w:val="00B013F8"/>
    <w:rsid w:val="00B01B87"/>
    <w:rsid w:val="00B01E37"/>
    <w:rsid w:val="00B030E4"/>
    <w:rsid w:val="00B04DAD"/>
    <w:rsid w:val="00B0544F"/>
    <w:rsid w:val="00B05C1B"/>
    <w:rsid w:val="00B065D8"/>
    <w:rsid w:val="00B1081D"/>
    <w:rsid w:val="00B1090D"/>
    <w:rsid w:val="00B10C3C"/>
    <w:rsid w:val="00B10D38"/>
    <w:rsid w:val="00B11AC5"/>
    <w:rsid w:val="00B11E5F"/>
    <w:rsid w:val="00B121E0"/>
    <w:rsid w:val="00B12762"/>
    <w:rsid w:val="00B12DB7"/>
    <w:rsid w:val="00B12FCB"/>
    <w:rsid w:val="00B13114"/>
    <w:rsid w:val="00B13A71"/>
    <w:rsid w:val="00B13B6E"/>
    <w:rsid w:val="00B15399"/>
    <w:rsid w:val="00B15A37"/>
    <w:rsid w:val="00B15B69"/>
    <w:rsid w:val="00B15BA8"/>
    <w:rsid w:val="00B1620F"/>
    <w:rsid w:val="00B16F58"/>
    <w:rsid w:val="00B17EDF"/>
    <w:rsid w:val="00B21C68"/>
    <w:rsid w:val="00B23663"/>
    <w:rsid w:val="00B239D6"/>
    <w:rsid w:val="00B24957"/>
    <w:rsid w:val="00B26678"/>
    <w:rsid w:val="00B2682E"/>
    <w:rsid w:val="00B26E33"/>
    <w:rsid w:val="00B26F25"/>
    <w:rsid w:val="00B27AA8"/>
    <w:rsid w:val="00B27B48"/>
    <w:rsid w:val="00B306A5"/>
    <w:rsid w:val="00B31730"/>
    <w:rsid w:val="00B32AE3"/>
    <w:rsid w:val="00B335B1"/>
    <w:rsid w:val="00B3466B"/>
    <w:rsid w:val="00B34811"/>
    <w:rsid w:val="00B35993"/>
    <w:rsid w:val="00B406D6"/>
    <w:rsid w:val="00B409FF"/>
    <w:rsid w:val="00B414E2"/>
    <w:rsid w:val="00B41B8A"/>
    <w:rsid w:val="00B41B99"/>
    <w:rsid w:val="00B4249E"/>
    <w:rsid w:val="00B426D0"/>
    <w:rsid w:val="00B43857"/>
    <w:rsid w:val="00B44CCC"/>
    <w:rsid w:val="00B45411"/>
    <w:rsid w:val="00B4541B"/>
    <w:rsid w:val="00B521C1"/>
    <w:rsid w:val="00B539E4"/>
    <w:rsid w:val="00B54C42"/>
    <w:rsid w:val="00B5505A"/>
    <w:rsid w:val="00B565B5"/>
    <w:rsid w:val="00B56CD0"/>
    <w:rsid w:val="00B56E49"/>
    <w:rsid w:val="00B57A30"/>
    <w:rsid w:val="00B601FC"/>
    <w:rsid w:val="00B6054E"/>
    <w:rsid w:val="00B60BAC"/>
    <w:rsid w:val="00B61A05"/>
    <w:rsid w:val="00B61A90"/>
    <w:rsid w:val="00B64085"/>
    <w:rsid w:val="00B642B6"/>
    <w:rsid w:val="00B650D7"/>
    <w:rsid w:val="00B66D19"/>
    <w:rsid w:val="00B66FAA"/>
    <w:rsid w:val="00B67508"/>
    <w:rsid w:val="00B70135"/>
    <w:rsid w:val="00B70E12"/>
    <w:rsid w:val="00B71C69"/>
    <w:rsid w:val="00B72B92"/>
    <w:rsid w:val="00B73B24"/>
    <w:rsid w:val="00B73C26"/>
    <w:rsid w:val="00B743D7"/>
    <w:rsid w:val="00B76822"/>
    <w:rsid w:val="00B770AD"/>
    <w:rsid w:val="00B774E8"/>
    <w:rsid w:val="00B779D7"/>
    <w:rsid w:val="00B80453"/>
    <w:rsid w:val="00B8146D"/>
    <w:rsid w:val="00B8192F"/>
    <w:rsid w:val="00B827D6"/>
    <w:rsid w:val="00B82E3B"/>
    <w:rsid w:val="00B832E7"/>
    <w:rsid w:val="00B8385C"/>
    <w:rsid w:val="00B8507C"/>
    <w:rsid w:val="00B852EA"/>
    <w:rsid w:val="00B859C3"/>
    <w:rsid w:val="00B85C8A"/>
    <w:rsid w:val="00B8643C"/>
    <w:rsid w:val="00B91E3E"/>
    <w:rsid w:val="00B92F29"/>
    <w:rsid w:val="00B92F64"/>
    <w:rsid w:val="00B93C7C"/>
    <w:rsid w:val="00B9446B"/>
    <w:rsid w:val="00B95947"/>
    <w:rsid w:val="00BA0659"/>
    <w:rsid w:val="00BA133B"/>
    <w:rsid w:val="00BA15D3"/>
    <w:rsid w:val="00BA2055"/>
    <w:rsid w:val="00BA215D"/>
    <w:rsid w:val="00BA4BE2"/>
    <w:rsid w:val="00BA64BF"/>
    <w:rsid w:val="00BA70F1"/>
    <w:rsid w:val="00BA73CC"/>
    <w:rsid w:val="00BA7BB3"/>
    <w:rsid w:val="00BB23A5"/>
    <w:rsid w:val="00BB33E9"/>
    <w:rsid w:val="00BB40D2"/>
    <w:rsid w:val="00BB529A"/>
    <w:rsid w:val="00BB59A2"/>
    <w:rsid w:val="00BB5F44"/>
    <w:rsid w:val="00BB7917"/>
    <w:rsid w:val="00BC0054"/>
    <w:rsid w:val="00BC0900"/>
    <w:rsid w:val="00BC4031"/>
    <w:rsid w:val="00BC4C8F"/>
    <w:rsid w:val="00BC59D7"/>
    <w:rsid w:val="00BC5DD9"/>
    <w:rsid w:val="00BC61EA"/>
    <w:rsid w:val="00BC65FC"/>
    <w:rsid w:val="00BC6879"/>
    <w:rsid w:val="00BC7443"/>
    <w:rsid w:val="00BC780B"/>
    <w:rsid w:val="00BD2A0A"/>
    <w:rsid w:val="00BD40CC"/>
    <w:rsid w:val="00BD48E8"/>
    <w:rsid w:val="00BD6170"/>
    <w:rsid w:val="00BE0307"/>
    <w:rsid w:val="00BE0B33"/>
    <w:rsid w:val="00BE110B"/>
    <w:rsid w:val="00BE14C5"/>
    <w:rsid w:val="00BE2414"/>
    <w:rsid w:val="00BE25FC"/>
    <w:rsid w:val="00BE43EA"/>
    <w:rsid w:val="00BE4E7C"/>
    <w:rsid w:val="00BE5289"/>
    <w:rsid w:val="00BE64BE"/>
    <w:rsid w:val="00BE64DA"/>
    <w:rsid w:val="00BF0762"/>
    <w:rsid w:val="00BF2B80"/>
    <w:rsid w:val="00BF2C74"/>
    <w:rsid w:val="00BF3637"/>
    <w:rsid w:val="00BF3CA8"/>
    <w:rsid w:val="00BF3D21"/>
    <w:rsid w:val="00BF3E66"/>
    <w:rsid w:val="00BF3EAF"/>
    <w:rsid w:val="00BF5775"/>
    <w:rsid w:val="00BF5AD4"/>
    <w:rsid w:val="00BF633B"/>
    <w:rsid w:val="00C01B2C"/>
    <w:rsid w:val="00C02124"/>
    <w:rsid w:val="00C03D1B"/>
    <w:rsid w:val="00C06274"/>
    <w:rsid w:val="00C06926"/>
    <w:rsid w:val="00C07157"/>
    <w:rsid w:val="00C111E0"/>
    <w:rsid w:val="00C11C9A"/>
    <w:rsid w:val="00C121C2"/>
    <w:rsid w:val="00C12FF1"/>
    <w:rsid w:val="00C139D5"/>
    <w:rsid w:val="00C14AB4"/>
    <w:rsid w:val="00C150C3"/>
    <w:rsid w:val="00C151DE"/>
    <w:rsid w:val="00C15BE7"/>
    <w:rsid w:val="00C168F5"/>
    <w:rsid w:val="00C220C8"/>
    <w:rsid w:val="00C22FE0"/>
    <w:rsid w:val="00C231DD"/>
    <w:rsid w:val="00C232E0"/>
    <w:rsid w:val="00C23539"/>
    <w:rsid w:val="00C24261"/>
    <w:rsid w:val="00C2428D"/>
    <w:rsid w:val="00C2520D"/>
    <w:rsid w:val="00C2571A"/>
    <w:rsid w:val="00C27E3E"/>
    <w:rsid w:val="00C300B9"/>
    <w:rsid w:val="00C329B8"/>
    <w:rsid w:val="00C32FD9"/>
    <w:rsid w:val="00C33345"/>
    <w:rsid w:val="00C33B75"/>
    <w:rsid w:val="00C348D3"/>
    <w:rsid w:val="00C34F2A"/>
    <w:rsid w:val="00C35763"/>
    <w:rsid w:val="00C4057C"/>
    <w:rsid w:val="00C408D7"/>
    <w:rsid w:val="00C41B1F"/>
    <w:rsid w:val="00C42094"/>
    <w:rsid w:val="00C42A06"/>
    <w:rsid w:val="00C43A01"/>
    <w:rsid w:val="00C4477C"/>
    <w:rsid w:val="00C45F51"/>
    <w:rsid w:val="00C461C9"/>
    <w:rsid w:val="00C46929"/>
    <w:rsid w:val="00C5016A"/>
    <w:rsid w:val="00C506E6"/>
    <w:rsid w:val="00C507E8"/>
    <w:rsid w:val="00C50EA1"/>
    <w:rsid w:val="00C5136B"/>
    <w:rsid w:val="00C52C1D"/>
    <w:rsid w:val="00C547A9"/>
    <w:rsid w:val="00C55AF8"/>
    <w:rsid w:val="00C55B43"/>
    <w:rsid w:val="00C575AD"/>
    <w:rsid w:val="00C578C1"/>
    <w:rsid w:val="00C61360"/>
    <w:rsid w:val="00C62372"/>
    <w:rsid w:val="00C631BC"/>
    <w:rsid w:val="00C65FF5"/>
    <w:rsid w:val="00C6657F"/>
    <w:rsid w:val="00C66AC1"/>
    <w:rsid w:val="00C70315"/>
    <w:rsid w:val="00C70778"/>
    <w:rsid w:val="00C70F39"/>
    <w:rsid w:val="00C728FE"/>
    <w:rsid w:val="00C7301F"/>
    <w:rsid w:val="00C731A4"/>
    <w:rsid w:val="00C739FF"/>
    <w:rsid w:val="00C73E3C"/>
    <w:rsid w:val="00C7484B"/>
    <w:rsid w:val="00C76577"/>
    <w:rsid w:val="00C7687B"/>
    <w:rsid w:val="00C76ABE"/>
    <w:rsid w:val="00C76C53"/>
    <w:rsid w:val="00C77619"/>
    <w:rsid w:val="00C779A8"/>
    <w:rsid w:val="00C80AEE"/>
    <w:rsid w:val="00C826D9"/>
    <w:rsid w:val="00C827FE"/>
    <w:rsid w:val="00C82C35"/>
    <w:rsid w:val="00C83912"/>
    <w:rsid w:val="00C839B4"/>
    <w:rsid w:val="00C8574C"/>
    <w:rsid w:val="00C86A40"/>
    <w:rsid w:val="00C87409"/>
    <w:rsid w:val="00C87EEF"/>
    <w:rsid w:val="00C901EA"/>
    <w:rsid w:val="00C902E1"/>
    <w:rsid w:val="00C90824"/>
    <w:rsid w:val="00C911CC"/>
    <w:rsid w:val="00C91F89"/>
    <w:rsid w:val="00C92292"/>
    <w:rsid w:val="00C939BA"/>
    <w:rsid w:val="00C93DC0"/>
    <w:rsid w:val="00C9455A"/>
    <w:rsid w:val="00C945D8"/>
    <w:rsid w:val="00C95C48"/>
    <w:rsid w:val="00C969B5"/>
    <w:rsid w:val="00C96C5F"/>
    <w:rsid w:val="00C97293"/>
    <w:rsid w:val="00CA0630"/>
    <w:rsid w:val="00CA0828"/>
    <w:rsid w:val="00CA0CC2"/>
    <w:rsid w:val="00CA1A4B"/>
    <w:rsid w:val="00CA26A0"/>
    <w:rsid w:val="00CA349B"/>
    <w:rsid w:val="00CA34D2"/>
    <w:rsid w:val="00CA367F"/>
    <w:rsid w:val="00CA3B15"/>
    <w:rsid w:val="00CA485F"/>
    <w:rsid w:val="00CA4AA7"/>
    <w:rsid w:val="00CA4E90"/>
    <w:rsid w:val="00CA5B9B"/>
    <w:rsid w:val="00CA62B7"/>
    <w:rsid w:val="00CA7432"/>
    <w:rsid w:val="00CA7ABD"/>
    <w:rsid w:val="00CB09AF"/>
    <w:rsid w:val="00CB137D"/>
    <w:rsid w:val="00CB42E5"/>
    <w:rsid w:val="00CB4D73"/>
    <w:rsid w:val="00CB5468"/>
    <w:rsid w:val="00CB572D"/>
    <w:rsid w:val="00CB599F"/>
    <w:rsid w:val="00CB6640"/>
    <w:rsid w:val="00CB6760"/>
    <w:rsid w:val="00CC0A4F"/>
    <w:rsid w:val="00CC0E52"/>
    <w:rsid w:val="00CC1394"/>
    <w:rsid w:val="00CC18FD"/>
    <w:rsid w:val="00CC31BD"/>
    <w:rsid w:val="00CC31F3"/>
    <w:rsid w:val="00CC67EC"/>
    <w:rsid w:val="00CD072E"/>
    <w:rsid w:val="00CD1AA1"/>
    <w:rsid w:val="00CD324D"/>
    <w:rsid w:val="00CD34D0"/>
    <w:rsid w:val="00CD4AD1"/>
    <w:rsid w:val="00CD4EFC"/>
    <w:rsid w:val="00CD5871"/>
    <w:rsid w:val="00CD5880"/>
    <w:rsid w:val="00CD611C"/>
    <w:rsid w:val="00CE302A"/>
    <w:rsid w:val="00CE3071"/>
    <w:rsid w:val="00CE4703"/>
    <w:rsid w:val="00CE5D67"/>
    <w:rsid w:val="00CE6543"/>
    <w:rsid w:val="00CE7754"/>
    <w:rsid w:val="00CE7F2D"/>
    <w:rsid w:val="00CF2B8F"/>
    <w:rsid w:val="00CF3416"/>
    <w:rsid w:val="00CF368F"/>
    <w:rsid w:val="00CF3826"/>
    <w:rsid w:val="00CF3F95"/>
    <w:rsid w:val="00CF47C2"/>
    <w:rsid w:val="00CF4A03"/>
    <w:rsid w:val="00CF4BDE"/>
    <w:rsid w:val="00D017F3"/>
    <w:rsid w:val="00D01DED"/>
    <w:rsid w:val="00D0266D"/>
    <w:rsid w:val="00D0274E"/>
    <w:rsid w:val="00D0353B"/>
    <w:rsid w:val="00D04E45"/>
    <w:rsid w:val="00D06EF1"/>
    <w:rsid w:val="00D071E7"/>
    <w:rsid w:val="00D073AA"/>
    <w:rsid w:val="00D077F7"/>
    <w:rsid w:val="00D07AD3"/>
    <w:rsid w:val="00D108EE"/>
    <w:rsid w:val="00D10F13"/>
    <w:rsid w:val="00D11157"/>
    <w:rsid w:val="00D125A4"/>
    <w:rsid w:val="00D12FF1"/>
    <w:rsid w:val="00D13016"/>
    <w:rsid w:val="00D135EA"/>
    <w:rsid w:val="00D13D1C"/>
    <w:rsid w:val="00D15EA3"/>
    <w:rsid w:val="00D16246"/>
    <w:rsid w:val="00D16589"/>
    <w:rsid w:val="00D17B05"/>
    <w:rsid w:val="00D209D7"/>
    <w:rsid w:val="00D20EB1"/>
    <w:rsid w:val="00D247E6"/>
    <w:rsid w:val="00D2570F"/>
    <w:rsid w:val="00D259F3"/>
    <w:rsid w:val="00D27389"/>
    <w:rsid w:val="00D31658"/>
    <w:rsid w:val="00D341D8"/>
    <w:rsid w:val="00D35327"/>
    <w:rsid w:val="00D35B7F"/>
    <w:rsid w:val="00D360FD"/>
    <w:rsid w:val="00D3652D"/>
    <w:rsid w:val="00D36ACA"/>
    <w:rsid w:val="00D37B0F"/>
    <w:rsid w:val="00D4188A"/>
    <w:rsid w:val="00D421CA"/>
    <w:rsid w:val="00D421E1"/>
    <w:rsid w:val="00D44336"/>
    <w:rsid w:val="00D4491D"/>
    <w:rsid w:val="00D44EAC"/>
    <w:rsid w:val="00D46225"/>
    <w:rsid w:val="00D46468"/>
    <w:rsid w:val="00D503B7"/>
    <w:rsid w:val="00D50684"/>
    <w:rsid w:val="00D51419"/>
    <w:rsid w:val="00D51725"/>
    <w:rsid w:val="00D52042"/>
    <w:rsid w:val="00D52555"/>
    <w:rsid w:val="00D54EF1"/>
    <w:rsid w:val="00D55D00"/>
    <w:rsid w:val="00D61172"/>
    <w:rsid w:val="00D61370"/>
    <w:rsid w:val="00D6292C"/>
    <w:rsid w:val="00D638BB"/>
    <w:rsid w:val="00D63B45"/>
    <w:rsid w:val="00D63E7D"/>
    <w:rsid w:val="00D63F3B"/>
    <w:rsid w:val="00D64C0A"/>
    <w:rsid w:val="00D66692"/>
    <w:rsid w:val="00D670BA"/>
    <w:rsid w:val="00D6744B"/>
    <w:rsid w:val="00D67A43"/>
    <w:rsid w:val="00D67AD9"/>
    <w:rsid w:val="00D70A00"/>
    <w:rsid w:val="00D7178D"/>
    <w:rsid w:val="00D718E5"/>
    <w:rsid w:val="00D72792"/>
    <w:rsid w:val="00D72E16"/>
    <w:rsid w:val="00D731FE"/>
    <w:rsid w:val="00D74A15"/>
    <w:rsid w:val="00D758AD"/>
    <w:rsid w:val="00D75A22"/>
    <w:rsid w:val="00D764F3"/>
    <w:rsid w:val="00D7673F"/>
    <w:rsid w:val="00D76D8D"/>
    <w:rsid w:val="00D80480"/>
    <w:rsid w:val="00D809DA"/>
    <w:rsid w:val="00D80A41"/>
    <w:rsid w:val="00D80B47"/>
    <w:rsid w:val="00D815A8"/>
    <w:rsid w:val="00D8308D"/>
    <w:rsid w:val="00D84FA9"/>
    <w:rsid w:val="00D86901"/>
    <w:rsid w:val="00D86C1A"/>
    <w:rsid w:val="00D86E89"/>
    <w:rsid w:val="00D86FB9"/>
    <w:rsid w:val="00D87CBD"/>
    <w:rsid w:val="00D87DF5"/>
    <w:rsid w:val="00D90896"/>
    <w:rsid w:val="00D92258"/>
    <w:rsid w:val="00D95703"/>
    <w:rsid w:val="00D96B16"/>
    <w:rsid w:val="00D97609"/>
    <w:rsid w:val="00DA0C40"/>
    <w:rsid w:val="00DA0F12"/>
    <w:rsid w:val="00DA0F20"/>
    <w:rsid w:val="00DA2BDC"/>
    <w:rsid w:val="00DA3447"/>
    <w:rsid w:val="00DA3628"/>
    <w:rsid w:val="00DA5CBB"/>
    <w:rsid w:val="00DA5CFC"/>
    <w:rsid w:val="00DA6D17"/>
    <w:rsid w:val="00DB0636"/>
    <w:rsid w:val="00DB147A"/>
    <w:rsid w:val="00DB1606"/>
    <w:rsid w:val="00DB26AC"/>
    <w:rsid w:val="00DB358E"/>
    <w:rsid w:val="00DB3CDD"/>
    <w:rsid w:val="00DB4511"/>
    <w:rsid w:val="00DB4EAC"/>
    <w:rsid w:val="00DB6E22"/>
    <w:rsid w:val="00DB7AB1"/>
    <w:rsid w:val="00DB7F4B"/>
    <w:rsid w:val="00DC13D4"/>
    <w:rsid w:val="00DC1435"/>
    <w:rsid w:val="00DC1E05"/>
    <w:rsid w:val="00DC207D"/>
    <w:rsid w:val="00DC24B6"/>
    <w:rsid w:val="00DC562B"/>
    <w:rsid w:val="00DC5F57"/>
    <w:rsid w:val="00DD0055"/>
    <w:rsid w:val="00DD00D6"/>
    <w:rsid w:val="00DD1119"/>
    <w:rsid w:val="00DD1211"/>
    <w:rsid w:val="00DD30BE"/>
    <w:rsid w:val="00DD418A"/>
    <w:rsid w:val="00DD53C0"/>
    <w:rsid w:val="00DD6759"/>
    <w:rsid w:val="00DD6C69"/>
    <w:rsid w:val="00DD73D3"/>
    <w:rsid w:val="00DE1A8C"/>
    <w:rsid w:val="00DE1E94"/>
    <w:rsid w:val="00DE2A68"/>
    <w:rsid w:val="00DE2C13"/>
    <w:rsid w:val="00DE2F92"/>
    <w:rsid w:val="00DE4C29"/>
    <w:rsid w:val="00DE690A"/>
    <w:rsid w:val="00DE709B"/>
    <w:rsid w:val="00DE77E3"/>
    <w:rsid w:val="00DF2134"/>
    <w:rsid w:val="00DF2EC6"/>
    <w:rsid w:val="00DF3409"/>
    <w:rsid w:val="00DF5522"/>
    <w:rsid w:val="00DF5815"/>
    <w:rsid w:val="00E01CCD"/>
    <w:rsid w:val="00E02687"/>
    <w:rsid w:val="00E03CB9"/>
    <w:rsid w:val="00E03DC2"/>
    <w:rsid w:val="00E046E1"/>
    <w:rsid w:val="00E0599B"/>
    <w:rsid w:val="00E065A0"/>
    <w:rsid w:val="00E07E99"/>
    <w:rsid w:val="00E1044C"/>
    <w:rsid w:val="00E11916"/>
    <w:rsid w:val="00E120D7"/>
    <w:rsid w:val="00E12492"/>
    <w:rsid w:val="00E13051"/>
    <w:rsid w:val="00E13284"/>
    <w:rsid w:val="00E138E1"/>
    <w:rsid w:val="00E13DEC"/>
    <w:rsid w:val="00E15C46"/>
    <w:rsid w:val="00E16671"/>
    <w:rsid w:val="00E17897"/>
    <w:rsid w:val="00E222A7"/>
    <w:rsid w:val="00E230F7"/>
    <w:rsid w:val="00E2311F"/>
    <w:rsid w:val="00E23410"/>
    <w:rsid w:val="00E23C33"/>
    <w:rsid w:val="00E26882"/>
    <w:rsid w:val="00E27607"/>
    <w:rsid w:val="00E31B45"/>
    <w:rsid w:val="00E324D5"/>
    <w:rsid w:val="00E3294C"/>
    <w:rsid w:val="00E333CB"/>
    <w:rsid w:val="00E33F84"/>
    <w:rsid w:val="00E3422D"/>
    <w:rsid w:val="00E34A53"/>
    <w:rsid w:val="00E35129"/>
    <w:rsid w:val="00E35509"/>
    <w:rsid w:val="00E35870"/>
    <w:rsid w:val="00E367C3"/>
    <w:rsid w:val="00E37F61"/>
    <w:rsid w:val="00E409D2"/>
    <w:rsid w:val="00E43B94"/>
    <w:rsid w:val="00E45AEC"/>
    <w:rsid w:val="00E50092"/>
    <w:rsid w:val="00E50164"/>
    <w:rsid w:val="00E50239"/>
    <w:rsid w:val="00E51DCD"/>
    <w:rsid w:val="00E52000"/>
    <w:rsid w:val="00E52630"/>
    <w:rsid w:val="00E536CA"/>
    <w:rsid w:val="00E53992"/>
    <w:rsid w:val="00E544DE"/>
    <w:rsid w:val="00E54C5D"/>
    <w:rsid w:val="00E55210"/>
    <w:rsid w:val="00E56072"/>
    <w:rsid w:val="00E576EF"/>
    <w:rsid w:val="00E619AA"/>
    <w:rsid w:val="00E62C89"/>
    <w:rsid w:val="00E6319A"/>
    <w:rsid w:val="00E637AC"/>
    <w:rsid w:val="00E65681"/>
    <w:rsid w:val="00E67B5D"/>
    <w:rsid w:val="00E67D01"/>
    <w:rsid w:val="00E71665"/>
    <w:rsid w:val="00E718A4"/>
    <w:rsid w:val="00E72CD3"/>
    <w:rsid w:val="00E72E79"/>
    <w:rsid w:val="00E73033"/>
    <w:rsid w:val="00E74571"/>
    <w:rsid w:val="00E746F3"/>
    <w:rsid w:val="00E74750"/>
    <w:rsid w:val="00E74F65"/>
    <w:rsid w:val="00E76341"/>
    <w:rsid w:val="00E76DDD"/>
    <w:rsid w:val="00E773B2"/>
    <w:rsid w:val="00E8003F"/>
    <w:rsid w:val="00E80398"/>
    <w:rsid w:val="00E818DA"/>
    <w:rsid w:val="00E82634"/>
    <w:rsid w:val="00E83262"/>
    <w:rsid w:val="00E833DD"/>
    <w:rsid w:val="00E83D68"/>
    <w:rsid w:val="00E851E5"/>
    <w:rsid w:val="00E86AF6"/>
    <w:rsid w:val="00E902E3"/>
    <w:rsid w:val="00E91AAB"/>
    <w:rsid w:val="00E91E2D"/>
    <w:rsid w:val="00E91FAD"/>
    <w:rsid w:val="00E921A4"/>
    <w:rsid w:val="00E94557"/>
    <w:rsid w:val="00E9529F"/>
    <w:rsid w:val="00E9699E"/>
    <w:rsid w:val="00E969CC"/>
    <w:rsid w:val="00E96FD5"/>
    <w:rsid w:val="00EA082B"/>
    <w:rsid w:val="00EA0DC1"/>
    <w:rsid w:val="00EA32E7"/>
    <w:rsid w:val="00EA3975"/>
    <w:rsid w:val="00EA398C"/>
    <w:rsid w:val="00EA43DD"/>
    <w:rsid w:val="00EA4938"/>
    <w:rsid w:val="00EA54D9"/>
    <w:rsid w:val="00EA73A4"/>
    <w:rsid w:val="00EB22BE"/>
    <w:rsid w:val="00EB29DA"/>
    <w:rsid w:val="00EB3CFD"/>
    <w:rsid w:val="00EB456B"/>
    <w:rsid w:val="00EB4734"/>
    <w:rsid w:val="00EB4CC6"/>
    <w:rsid w:val="00EB574B"/>
    <w:rsid w:val="00EB6296"/>
    <w:rsid w:val="00EB65DA"/>
    <w:rsid w:val="00EB7C01"/>
    <w:rsid w:val="00EC0395"/>
    <w:rsid w:val="00EC06E6"/>
    <w:rsid w:val="00EC0A2E"/>
    <w:rsid w:val="00EC0E63"/>
    <w:rsid w:val="00EC2570"/>
    <w:rsid w:val="00EC31E6"/>
    <w:rsid w:val="00EC35E9"/>
    <w:rsid w:val="00EC396E"/>
    <w:rsid w:val="00EC39A3"/>
    <w:rsid w:val="00EC4D94"/>
    <w:rsid w:val="00EC5F00"/>
    <w:rsid w:val="00EC70B5"/>
    <w:rsid w:val="00ED195A"/>
    <w:rsid w:val="00ED365A"/>
    <w:rsid w:val="00ED446B"/>
    <w:rsid w:val="00ED5432"/>
    <w:rsid w:val="00ED5536"/>
    <w:rsid w:val="00ED64CB"/>
    <w:rsid w:val="00ED6517"/>
    <w:rsid w:val="00ED6C79"/>
    <w:rsid w:val="00ED7925"/>
    <w:rsid w:val="00ED7ECB"/>
    <w:rsid w:val="00EE1653"/>
    <w:rsid w:val="00EE36E5"/>
    <w:rsid w:val="00EE447E"/>
    <w:rsid w:val="00EE4CE2"/>
    <w:rsid w:val="00EE52B0"/>
    <w:rsid w:val="00EE5DD8"/>
    <w:rsid w:val="00EE63F6"/>
    <w:rsid w:val="00EE78B8"/>
    <w:rsid w:val="00EE78F6"/>
    <w:rsid w:val="00EF0390"/>
    <w:rsid w:val="00EF0815"/>
    <w:rsid w:val="00EF0C95"/>
    <w:rsid w:val="00EF1891"/>
    <w:rsid w:val="00EF1DD3"/>
    <w:rsid w:val="00EF4108"/>
    <w:rsid w:val="00EF4702"/>
    <w:rsid w:val="00EF48F7"/>
    <w:rsid w:val="00EF5DBB"/>
    <w:rsid w:val="00EF6828"/>
    <w:rsid w:val="00EF6B91"/>
    <w:rsid w:val="00EF7C35"/>
    <w:rsid w:val="00F00095"/>
    <w:rsid w:val="00F00BC2"/>
    <w:rsid w:val="00F0297E"/>
    <w:rsid w:val="00F0343F"/>
    <w:rsid w:val="00F037BA"/>
    <w:rsid w:val="00F03813"/>
    <w:rsid w:val="00F03DBE"/>
    <w:rsid w:val="00F06C16"/>
    <w:rsid w:val="00F07F7B"/>
    <w:rsid w:val="00F111BF"/>
    <w:rsid w:val="00F1172A"/>
    <w:rsid w:val="00F12A6D"/>
    <w:rsid w:val="00F13706"/>
    <w:rsid w:val="00F16676"/>
    <w:rsid w:val="00F16A6B"/>
    <w:rsid w:val="00F17BAC"/>
    <w:rsid w:val="00F17BEB"/>
    <w:rsid w:val="00F21306"/>
    <w:rsid w:val="00F23474"/>
    <w:rsid w:val="00F24602"/>
    <w:rsid w:val="00F24BFD"/>
    <w:rsid w:val="00F25CA9"/>
    <w:rsid w:val="00F2772D"/>
    <w:rsid w:val="00F27D36"/>
    <w:rsid w:val="00F31111"/>
    <w:rsid w:val="00F312CE"/>
    <w:rsid w:val="00F319F4"/>
    <w:rsid w:val="00F31B47"/>
    <w:rsid w:val="00F31CE1"/>
    <w:rsid w:val="00F32923"/>
    <w:rsid w:val="00F33031"/>
    <w:rsid w:val="00F33194"/>
    <w:rsid w:val="00F33CA4"/>
    <w:rsid w:val="00F34403"/>
    <w:rsid w:val="00F347AC"/>
    <w:rsid w:val="00F34BEF"/>
    <w:rsid w:val="00F350D5"/>
    <w:rsid w:val="00F3513E"/>
    <w:rsid w:val="00F36603"/>
    <w:rsid w:val="00F36A02"/>
    <w:rsid w:val="00F373C4"/>
    <w:rsid w:val="00F37C06"/>
    <w:rsid w:val="00F4016F"/>
    <w:rsid w:val="00F40241"/>
    <w:rsid w:val="00F41A28"/>
    <w:rsid w:val="00F43E75"/>
    <w:rsid w:val="00F43FBD"/>
    <w:rsid w:val="00F452D4"/>
    <w:rsid w:val="00F45724"/>
    <w:rsid w:val="00F45823"/>
    <w:rsid w:val="00F458A0"/>
    <w:rsid w:val="00F45BA6"/>
    <w:rsid w:val="00F469E6"/>
    <w:rsid w:val="00F4776F"/>
    <w:rsid w:val="00F50BD6"/>
    <w:rsid w:val="00F50CE3"/>
    <w:rsid w:val="00F51763"/>
    <w:rsid w:val="00F51CA9"/>
    <w:rsid w:val="00F52325"/>
    <w:rsid w:val="00F5417C"/>
    <w:rsid w:val="00F5480B"/>
    <w:rsid w:val="00F54C8B"/>
    <w:rsid w:val="00F54D9F"/>
    <w:rsid w:val="00F55EA8"/>
    <w:rsid w:val="00F5685A"/>
    <w:rsid w:val="00F60124"/>
    <w:rsid w:val="00F61751"/>
    <w:rsid w:val="00F62843"/>
    <w:rsid w:val="00F63763"/>
    <w:rsid w:val="00F63D89"/>
    <w:rsid w:val="00F63E61"/>
    <w:rsid w:val="00F64783"/>
    <w:rsid w:val="00F64B87"/>
    <w:rsid w:val="00F64FCD"/>
    <w:rsid w:val="00F659E8"/>
    <w:rsid w:val="00F65C94"/>
    <w:rsid w:val="00F65E61"/>
    <w:rsid w:val="00F660EF"/>
    <w:rsid w:val="00F662C7"/>
    <w:rsid w:val="00F67DA8"/>
    <w:rsid w:val="00F74846"/>
    <w:rsid w:val="00F74E1C"/>
    <w:rsid w:val="00F74EAB"/>
    <w:rsid w:val="00F774AF"/>
    <w:rsid w:val="00F77867"/>
    <w:rsid w:val="00F80FA2"/>
    <w:rsid w:val="00F81BC2"/>
    <w:rsid w:val="00F81F6F"/>
    <w:rsid w:val="00F8218C"/>
    <w:rsid w:val="00F8231E"/>
    <w:rsid w:val="00F823B5"/>
    <w:rsid w:val="00F83E5C"/>
    <w:rsid w:val="00F8488B"/>
    <w:rsid w:val="00F84B23"/>
    <w:rsid w:val="00F85404"/>
    <w:rsid w:val="00F85CBF"/>
    <w:rsid w:val="00F86A91"/>
    <w:rsid w:val="00F870B0"/>
    <w:rsid w:val="00F90547"/>
    <w:rsid w:val="00F91205"/>
    <w:rsid w:val="00F91779"/>
    <w:rsid w:val="00F91A84"/>
    <w:rsid w:val="00F92014"/>
    <w:rsid w:val="00F92815"/>
    <w:rsid w:val="00F9299B"/>
    <w:rsid w:val="00F9323B"/>
    <w:rsid w:val="00F9329E"/>
    <w:rsid w:val="00F94D92"/>
    <w:rsid w:val="00F950F8"/>
    <w:rsid w:val="00F95379"/>
    <w:rsid w:val="00F954BF"/>
    <w:rsid w:val="00F954C3"/>
    <w:rsid w:val="00F95E8B"/>
    <w:rsid w:val="00F96DC9"/>
    <w:rsid w:val="00F96E64"/>
    <w:rsid w:val="00F971D4"/>
    <w:rsid w:val="00FA1C32"/>
    <w:rsid w:val="00FA366C"/>
    <w:rsid w:val="00FA3D43"/>
    <w:rsid w:val="00FA51B1"/>
    <w:rsid w:val="00FA65EB"/>
    <w:rsid w:val="00FA68AF"/>
    <w:rsid w:val="00FA73B7"/>
    <w:rsid w:val="00FA7C8A"/>
    <w:rsid w:val="00FA7FE3"/>
    <w:rsid w:val="00FB02C7"/>
    <w:rsid w:val="00FB0963"/>
    <w:rsid w:val="00FB0BEF"/>
    <w:rsid w:val="00FB0C64"/>
    <w:rsid w:val="00FB136F"/>
    <w:rsid w:val="00FB18D3"/>
    <w:rsid w:val="00FB21C3"/>
    <w:rsid w:val="00FB2B87"/>
    <w:rsid w:val="00FB3928"/>
    <w:rsid w:val="00FB4C85"/>
    <w:rsid w:val="00FB4D6A"/>
    <w:rsid w:val="00FB645F"/>
    <w:rsid w:val="00FB7558"/>
    <w:rsid w:val="00FB7D8F"/>
    <w:rsid w:val="00FC224F"/>
    <w:rsid w:val="00FC34D4"/>
    <w:rsid w:val="00FC3F4B"/>
    <w:rsid w:val="00FC4F11"/>
    <w:rsid w:val="00FC53FB"/>
    <w:rsid w:val="00FC5CA7"/>
    <w:rsid w:val="00FC6988"/>
    <w:rsid w:val="00FC6CD3"/>
    <w:rsid w:val="00FC6F14"/>
    <w:rsid w:val="00FC7765"/>
    <w:rsid w:val="00FC7826"/>
    <w:rsid w:val="00FD0199"/>
    <w:rsid w:val="00FD2BA3"/>
    <w:rsid w:val="00FD2F3C"/>
    <w:rsid w:val="00FD32A5"/>
    <w:rsid w:val="00FD5DED"/>
    <w:rsid w:val="00FD5FC1"/>
    <w:rsid w:val="00FD5FD5"/>
    <w:rsid w:val="00FD62E6"/>
    <w:rsid w:val="00FD6E33"/>
    <w:rsid w:val="00FE180C"/>
    <w:rsid w:val="00FE1E38"/>
    <w:rsid w:val="00FE3546"/>
    <w:rsid w:val="00FE4DB6"/>
    <w:rsid w:val="00FE5C87"/>
    <w:rsid w:val="00FE7201"/>
    <w:rsid w:val="00FE7230"/>
    <w:rsid w:val="00FF0BFB"/>
    <w:rsid w:val="00FF0DD0"/>
    <w:rsid w:val="00FF10A0"/>
    <w:rsid w:val="00FF13EB"/>
    <w:rsid w:val="00FF2850"/>
    <w:rsid w:val="00FF2D63"/>
    <w:rsid w:val="00FF3162"/>
    <w:rsid w:val="00FF3D64"/>
    <w:rsid w:val="00FF4337"/>
    <w:rsid w:val="00FF4B7D"/>
    <w:rsid w:val="00FF51E4"/>
    <w:rsid w:val="00FF55B6"/>
    <w:rsid w:val="00FF56D7"/>
    <w:rsid w:val="00FF5999"/>
    <w:rsid w:val="00FF5EE2"/>
    <w:rsid w:val="00FF5F83"/>
    <w:rsid w:val="00FF6E74"/>
    <w:rsid w:val="00FF7CC0"/>
    <w:rsid w:val="018E2202"/>
    <w:rsid w:val="02923DB4"/>
    <w:rsid w:val="048975DA"/>
    <w:rsid w:val="051F15E6"/>
    <w:rsid w:val="0AC03053"/>
    <w:rsid w:val="0B073393"/>
    <w:rsid w:val="118E148F"/>
    <w:rsid w:val="1451177F"/>
    <w:rsid w:val="166F1B42"/>
    <w:rsid w:val="17955B28"/>
    <w:rsid w:val="19265F27"/>
    <w:rsid w:val="196338E5"/>
    <w:rsid w:val="1A616FCC"/>
    <w:rsid w:val="1F51312D"/>
    <w:rsid w:val="220D0102"/>
    <w:rsid w:val="248470E4"/>
    <w:rsid w:val="286B6843"/>
    <w:rsid w:val="2BDF6ACD"/>
    <w:rsid w:val="2F121AAB"/>
    <w:rsid w:val="2F1E2756"/>
    <w:rsid w:val="30344621"/>
    <w:rsid w:val="32280145"/>
    <w:rsid w:val="3B566C87"/>
    <w:rsid w:val="3C5B0D82"/>
    <w:rsid w:val="3D0E4BE8"/>
    <w:rsid w:val="3F8772FA"/>
    <w:rsid w:val="4A68175E"/>
    <w:rsid w:val="4CF46B5C"/>
    <w:rsid w:val="4F8925A9"/>
    <w:rsid w:val="50BE58AC"/>
    <w:rsid w:val="53273080"/>
    <w:rsid w:val="53585FFF"/>
    <w:rsid w:val="535F57DB"/>
    <w:rsid w:val="55CB7237"/>
    <w:rsid w:val="5678029E"/>
    <w:rsid w:val="596C0085"/>
    <w:rsid w:val="59874658"/>
    <w:rsid w:val="59DB669C"/>
    <w:rsid w:val="5F5516FB"/>
    <w:rsid w:val="61B53A57"/>
    <w:rsid w:val="61E005E4"/>
    <w:rsid w:val="63117E08"/>
    <w:rsid w:val="660A2224"/>
    <w:rsid w:val="67EB6CD3"/>
    <w:rsid w:val="6839661D"/>
    <w:rsid w:val="6C0862E7"/>
    <w:rsid w:val="6CF97418"/>
    <w:rsid w:val="6E617876"/>
    <w:rsid w:val="6FA26D85"/>
    <w:rsid w:val="6FD82650"/>
    <w:rsid w:val="734F66C6"/>
    <w:rsid w:val="79A80920"/>
    <w:rsid w:val="7B0D6D39"/>
    <w:rsid w:val="7B1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iPriority="99"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cs="Times New Roman" w:eastAsiaTheme="minorEastAsia"/>
      <w:kern w:val="2"/>
      <w:sz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0"/>
    <w:pPr>
      <w:adjustRightInd w:val="0"/>
      <w:snapToGrid w:val="0"/>
      <w:spacing w:line="360" w:lineRule="auto"/>
      <w:ind w:firstLine="476"/>
      <w:textAlignment w:val="baseline"/>
      <w:outlineLvl w:val="2"/>
    </w:pPr>
    <w:rPr>
      <w:rFonts w:eastAsia="FangSong_GB2312"/>
      <w:kern w:val="0"/>
      <w:sz w:val="24"/>
    </w:rPr>
  </w:style>
  <w:style w:type="paragraph" w:styleId="7">
    <w:name w:val="heading 5"/>
    <w:basedOn w:val="1"/>
    <w:next w:val="6"/>
    <w:autoRedefine/>
    <w:qFormat/>
    <w:uiPriority w:val="0"/>
    <w:pPr>
      <w:adjustRightInd w:val="0"/>
      <w:snapToGrid w:val="0"/>
      <w:spacing w:line="360" w:lineRule="auto"/>
      <w:ind w:firstLine="476"/>
      <w:textAlignment w:val="baseline"/>
      <w:outlineLvl w:val="4"/>
    </w:pPr>
    <w:rPr>
      <w:rFonts w:eastAsia="FangSong_GB2312"/>
      <w:kern w:val="0"/>
      <w:sz w:val="24"/>
    </w:rPr>
  </w:style>
  <w:style w:type="paragraph" w:styleId="8">
    <w:name w:val="heading 6"/>
    <w:basedOn w:val="1"/>
    <w:next w:val="6"/>
    <w:autoRedefine/>
    <w:qFormat/>
    <w:uiPriority w:val="0"/>
    <w:pPr>
      <w:adjustRightInd w:val="0"/>
      <w:snapToGrid w:val="0"/>
      <w:spacing w:line="360" w:lineRule="auto"/>
      <w:ind w:firstLine="476"/>
      <w:textAlignment w:val="baseline"/>
      <w:outlineLvl w:val="5"/>
    </w:pPr>
    <w:rPr>
      <w:rFonts w:eastAsia="FangSong_GB2312"/>
      <w:kern w:val="0"/>
      <w:sz w:val="24"/>
    </w:rPr>
  </w:style>
  <w:style w:type="character" w:default="1" w:styleId="30">
    <w:name w:val="Default Paragraph Font"/>
    <w:semiHidden/>
    <w:unhideWhenUsed/>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6">
    <w:name w:val="Normal Indent"/>
    <w:basedOn w:val="1"/>
    <w:autoRedefine/>
    <w:qFormat/>
    <w:uiPriority w:val="0"/>
    <w:pPr>
      <w:adjustRightInd w:val="0"/>
      <w:snapToGrid w:val="0"/>
      <w:spacing w:line="360" w:lineRule="auto"/>
      <w:ind w:firstLine="462"/>
      <w:textAlignment w:val="baseline"/>
    </w:pPr>
    <w:rPr>
      <w:rFonts w:eastAsia="FangSong_GB2312"/>
      <w:kern w:val="0"/>
      <w:sz w:val="24"/>
    </w:rPr>
  </w:style>
  <w:style w:type="paragraph" w:styleId="9">
    <w:name w:val="Document Map"/>
    <w:basedOn w:val="1"/>
    <w:autoRedefine/>
    <w:semiHidden/>
    <w:qFormat/>
    <w:uiPriority w:val="0"/>
    <w:pPr>
      <w:shd w:val="clear" w:color="auto" w:fill="000080"/>
    </w:pPr>
  </w:style>
  <w:style w:type="paragraph" w:styleId="10">
    <w:name w:val="annotation text"/>
    <w:basedOn w:val="1"/>
    <w:link w:val="52"/>
    <w:autoRedefine/>
    <w:semiHidden/>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w:basedOn w:val="1"/>
    <w:autoRedefine/>
    <w:qFormat/>
    <w:uiPriority w:val="0"/>
    <w:pPr>
      <w:spacing w:line="240" w:lineRule="atLeast"/>
    </w:pPr>
    <w:rPr>
      <w:rFonts w:eastAsia="FangSong_GB2312"/>
      <w:sz w:val="24"/>
    </w:rPr>
  </w:style>
  <w:style w:type="paragraph" w:styleId="13">
    <w:name w:val="Body Text Indent"/>
    <w:basedOn w:val="1"/>
    <w:autoRedefine/>
    <w:qFormat/>
    <w:uiPriority w:val="0"/>
    <w:pPr>
      <w:adjustRightInd w:val="0"/>
      <w:ind w:firstLine="570"/>
      <w:textAlignment w:val="baseline"/>
    </w:pPr>
    <w:rPr>
      <w:rFonts w:ascii="宋体"/>
      <w:color w:val="800000"/>
      <w:kern w:val="0"/>
      <w:sz w:val="28"/>
    </w:rPr>
  </w:style>
  <w:style w:type="paragraph" w:styleId="14">
    <w:name w:val="toc 3"/>
    <w:basedOn w:val="1"/>
    <w:next w:val="1"/>
    <w:autoRedefine/>
    <w:semiHidden/>
    <w:qFormat/>
    <w:uiPriority w:val="0"/>
    <w:pPr>
      <w:ind w:left="840" w:leftChars="400"/>
    </w:pPr>
  </w:style>
  <w:style w:type="paragraph" w:styleId="15">
    <w:name w:val="Plain Text"/>
    <w:basedOn w:val="1"/>
    <w:autoRedefine/>
    <w:qFormat/>
    <w:uiPriority w:val="0"/>
    <w:rPr>
      <w:rFonts w:ascii="宋体" w:hAnsi="Courier New"/>
    </w:rPr>
  </w:style>
  <w:style w:type="paragraph" w:styleId="16">
    <w:name w:val="Date"/>
    <w:basedOn w:val="1"/>
    <w:next w:val="1"/>
    <w:autoRedefine/>
    <w:qFormat/>
    <w:uiPriority w:val="0"/>
    <w:pPr>
      <w:adjustRightInd w:val="0"/>
      <w:jc w:val="right"/>
      <w:textAlignment w:val="baseline"/>
    </w:pPr>
    <w:rPr>
      <w:sz w:val="28"/>
    </w:rPr>
  </w:style>
  <w:style w:type="paragraph" w:styleId="17">
    <w:name w:val="Body Text Indent 2"/>
    <w:basedOn w:val="1"/>
    <w:autoRedefine/>
    <w:qFormat/>
    <w:uiPriority w:val="0"/>
    <w:pPr>
      <w:spacing w:line="360" w:lineRule="auto"/>
      <w:ind w:firstLine="555"/>
    </w:pPr>
    <w:rPr>
      <w:rFonts w:ascii="FangSong_GB2312" w:eastAsia="FangSong_GB2312"/>
      <w:sz w:val="28"/>
    </w:rPr>
  </w:style>
  <w:style w:type="paragraph" w:styleId="18">
    <w:name w:val="Balloon Text"/>
    <w:basedOn w:val="1"/>
    <w:autoRedefine/>
    <w:semiHidden/>
    <w:qFormat/>
    <w:uiPriority w:val="0"/>
    <w:rPr>
      <w:sz w:val="18"/>
      <w:szCs w:val="18"/>
    </w:rPr>
  </w:style>
  <w:style w:type="paragraph" w:styleId="19">
    <w:name w:val="footer"/>
    <w:basedOn w:val="1"/>
    <w:link w:val="49"/>
    <w:autoRedefine/>
    <w:qFormat/>
    <w:uiPriority w:val="0"/>
    <w:pPr>
      <w:tabs>
        <w:tab w:val="center" w:pos="4153"/>
        <w:tab w:val="right" w:pos="8306"/>
      </w:tabs>
      <w:adjustRightInd w:val="0"/>
      <w:snapToGrid w:val="0"/>
      <w:jc w:val="left"/>
      <w:textAlignment w:val="baseline"/>
    </w:pPr>
    <w:rPr>
      <w:rFonts w:eastAsia="FangSong_GB2312"/>
      <w:kern w:val="0"/>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39"/>
    <w:pPr>
      <w:tabs>
        <w:tab w:val="right" w:leader="dot" w:pos="8909"/>
      </w:tabs>
    </w:pPr>
    <w:rPr>
      <w:rFonts w:ascii="FangSong_GB2312" w:hAnsi="仿宋" w:eastAsia="FangSong_GB2312"/>
      <w:sz w:val="24"/>
      <w:szCs w:val="24"/>
    </w:rPr>
  </w:style>
  <w:style w:type="paragraph" w:styleId="22">
    <w:name w:val="Body Text Indent 3"/>
    <w:basedOn w:val="1"/>
    <w:autoRedefine/>
    <w:qFormat/>
    <w:uiPriority w:val="0"/>
    <w:pPr>
      <w:spacing w:line="360" w:lineRule="auto"/>
      <w:ind w:firstLine="525"/>
    </w:pPr>
  </w:style>
  <w:style w:type="paragraph" w:styleId="23">
    <w:name w:val="toc 2"/>
    <w:basedOn w:val="1"/>
    <w:next w:val="1"/>
    <w:autoRedefine/>
    <w:qFormat/>
    <w:uiPriority w:val="39"/>
    <w:pPr>
      <w:tabs>
        <w:tab w:val="left" w:pos="1260"/>
        <w:tab w:val="left" w:pos="1470"/>
        <w:tab w:val="right" w:leader="dot" w:pos="8909"/>
      </w:tabs>
      <w:ind w:left="420" w:leftChars="200"/>
    </w:pPr>
  </w:style>
  <w:style w:type="paragraph" w:styleId="24">
    <w:name w:val="Body Text 2"/>
    <w:basedOn w:val="1"/>
    <w:autoRedefine/>
    <w:qFormat/>
    <w:uiPriority w:val="0"/>
    <w:pPr>
      <w:jc w:val="center"/>
    </w:pPr>
    <w:rPr>
      <w:rFonts w:eastAsia="FangSong_GB2312"/>
      <w:sz w:val="18"/>
    </w:rPr>
  </w:style>
  <w:style w:type="paragraph" w:styleId="25">
    <w:name w:val="Normal (Web)"/>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6">
    <w:name w:val="Title"/>
    <w:basedOn w:val="1"/>
    <w:next w:val="1"/>
    <w:link w:val="55"/>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autoRedefine/>
    <w:semiHidden/>
    <w:qFormat/>
    <w:uiPriority w:val="0"/>
    <w:rPr>
      <w:b/>
      <w:bCs/>
    </w:rPr>
  </w:style>
  <w:style w:type="paragraph" w:styleId="28">
    <w:name w:val="Body Text First Indent"/>
    <w:basedOn w:val="12"/>
    <w:autoRedefine/>
    <w:qFormat/>
    <w:uiPriority w:val="0"/>
    <w:pPr>
      <w:spacing w:after="120" w:line="240" w:lineRule="auto"/>
      <w:ind w:firstLine="420" w:firstLineChars="100"/>
    </w:pPr>
    <w:rPr>
      <w:rFonts w:eastAsia="宋体"/>
      <w:sz w:val="21"/>
    </w:r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Hyperlink"/>
    <w:autoRedefine/>
    <w:qFormat/>
    <w:uiPriority w:val="99"/>
    <w:rPr>
      <w:color w:val="000000"/>
      <w:u w:val="none"/>
    </w:rPr>
  </w:style>
  <w:style w:type="character" w:styleId="35">
    <w:name w:val="annotation reference"/>
    <w:autoRedefine/>
    <w:qFormat/>
    <w:uiPriority w:val="0"/>
    <w:rPr>
      <w:sz w:val="21"/>
      <w:szCs w:val="21"/>
    </w:rPr>
  </w:style>
  <w:style w:type="paragraph" w:customStyle="1" w:styleId="36">
    <w:name w:val="样式2"/>
    <w:basedOn w:val="1"/>
    <w:autoRedefine/>
    <w:qFormat/>
    <w:uiPriority w:val="0"/>
    <w:pPr>
      <w:adjustRightInd w:val="0"/>
      <w:snapToGrid w:val="0"/>
      <w:spacing w:line="360" w:lineRule="auto"/>
      <w:textAlignment w:val="baseline"/>
    </w:pPr>
    <w:rPr>
      <w:rFonts w:ascii="宋体"/>
      <w:spacing w:val="2"/>
      <w:kern w:val="0"/>
      <w:sz w:val="24"/>
    </w:rPr>
  </w:style>
  <w:style w:type="paragraph" w:customStyle="1" w:styleId="37">
    <w:name w:val="方案缩进"/>
    <w:autoRedefine/>
    <w:qFormat/>
    <w:uiPriority w:val="0"/>
    <w:pPr>
      <w:widowControl w:val="0"/>
      <w:adjustRightInd w:val="0"/>
      <w:spacing w:before="120" w:line="360" w:lineRule="auto"/>
      <w:ind w:firstLine="567"/>
      <w:jc w:val="both"/>
      <w:textAlignment w:val="baseline"/>
    </w:pPr>
    <w:rPr>
      <w:rFonts w:ascii="宋体" w:hAnsi="Times New Roman" w:cs="Times New Roman" w:eastAsiaTheme="minorEastAsia"/>
      <w:sz w:val="28"/>
      <w:lang w:val="en-US" w:eastAsia="zh-CN" w:bidi="ar-SA"/>
    </w:rPr>
  </w:style>
  <w:style w:type="paragraph" w:customStyle="1" w:styleId="3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4"/>
    </w:rPr>
  </w:style>
  <w:style w:type="paragraph" w:customStyle="1" w:styleId="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4"/>
    </w:rPr>
  </w:style>
  <w:style w:type="paragraph" w:customStyle="1" w:styleId="40">
    <w:name w:val="样式 标题 1 + 仿宋_GB2312 三号 非加粗 居中"/>
    <w:basedOn w:val="3"/>
    <w:autoRedefine/>
    <w:qFormat/>
    <w:uiPriority w:val="0"/>
    <w:pPr>
      <w:spacing w:line="360" w:lineRule="auto"/>
      <w:ind w:firstLine="200" w:firstLineChars="200"/>
      <w:jc w:val="center"/>
    </w:pPr>
    <w:rPr>
      <w:rFonts w:ascii="FangSong_GB2312" w:hAnsi="FangSong_GB2312" w:eastAsia="FangSong_GB2312" w:cs="宋体"/>
      <w:b w:val="0"/>
      <w:bCs w:val="0"/>
      <w:sz w:val="32"/>
      <w:szCs w:val="20"/>
    </w:rPr>
  </w:style>
  <w:style w:type="paragraph" w:customStyle="1" w:styleId="41">
    <w:name w:val="样式 样式 标题 1 + 仿宋_GB2312 三号 非加粗 居中 + (符号) Times New Roman 加粗 首行缩..."/>
    <w:basedOn w:val="40"/>
    <w:autoRedefine/>
    <w:qFormat/>
    <w:uiPriority w:val="0"/>
    <w:pPr>
      <w:snapToGrid w:val="0"/>
    </w:pPr>
    <w:rPr>
      <w:rFonts w:hAnsi="Times New Roman"/>
      <w:b/>
      <w:bCs/>
      <w:kern w:val="2"/>
    </w:rPr>
  </w:style>
  <w:style w:type="paragraph" w:customStyle="1" w:styleId="42">
    <w:name w:val="xl3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43">
    <w:name w:val="Char"/>
    <w:basedOn w:val="1"/>
    <w:autoRedefine/>
    <w:qFormat/>
    <w:uiPriority w:val="0"/>
    <w:rPr>
      <w:rFonts w:ascii="Tahoma" w:hAnsi="Tahoma"/>
      <w:sz w:val="24"/>
    </w:rPr>
  </w:style>
  <w:style w:type="paragraph" w:customStyle="1" w:styleId="44">
    <w:name w:val="默认段落字体 Para Char Char Char Char Char Char Char"/>
    <w:basedOn w:val="1"/>
    <w:autoRedefine/>
    <w:qFormat/>
    <w:uiPriority w:val="0"/>
    <w:rPr>
      <w:rFonts w:ascii="Tahoma" w:hAnsi="Tahoma" w:cs="Tahoma"/>
      <w:sz w:val="24"/>
      <w:szCs w:val="24"/>
    </w:rPr>
  </w:style>
  <w:style w:type="character" w:customStyle="1" w:styleId="45">
    <w:name w:val="font31"/>
    <w:autoRedefine/>
    <w:qFormat/>
    <w:uiPriority w:val="0"/>
    <w:rPr>
      <w:rFonts w:hint="default" w:ascii="Times New Roman" w:hAnsi="Times New Roman" w:cs="Times New Roman"/>
      <w:color w:val="000000"/>
      <w:sz w:val="24"/>
      <w:szCs w:val="24"/>
      <w:u w:val="none"/>
    </w:rPr>
  </w:style>
  <w:style w:type="character" w:customStyle="1" w:styleId="46">
    <w:name w:val="font41"/>
    <w:autoRedefine/>
    <w:qFormat/>
    <w:uiPriority w:val="0"/>
    <w:rPr>
      <w:rFonts w:hint="eastAsia" w:ascii="宋体" w:hAnsi="宋体" w:eastAsia="宋体"/>
      <w:color w:val="000000"/>
      <w:sz w:val="24"/>
      <w:szCs w:val="24"/>
      <w:u w:val="none"/>
    </w:rPr>
  </w:style>
  <w:style w:type="character" w:customStyle="1" w:styleId="47">
    <w:name w:val="font01"/>
    <w:autoRedefine/>
    <w:qFormat/>
    <w:uiPriority w:val="0"/>
    <w:rPr>
      <w:rFonts w:hint="default" w:ascii="Times New Roman" w:hAnsi="Times New Roman" w:cs="Times New Roman"/>
      <w:color w:val="000000"/>
      <w:sz w:val="24"/>
      <w:szCs w:val="24"/>
      <w:u w:val="none"/>
    </w:rPr>
  </w:style>
  <w:style w:type="character" w:customStyle="1" w:styleId="48">
    <w:name w:val="font51"/>
    <w:autoRedefine/>
    <w:qFormat/>
    <w:uiPriority w:val="0"/>
    <w:rPr>
      <w:rFonts w:hint="eastAsia" w:ascii="宋体" w:hAnsi="宋体" w:eastAsia="宋体"/>
      <w:color w:val="000000"/>
      <w:sz w:val="24"/>
      <w:szCs w:val="24"/>
      <w:u w:val="none"/>
    </w:rPr>
  </w:style>
  <w:style w:type="character" w:customStyle="1" w:styleId="49">
    <w:name w:val="页脚 Char"/>
    <w:link w:val="19"/>
    <w:autoRedefine/>
    <w:semiHidden/>
    <w:qFormat/>
    <w:uiPriority w:val="0"/>
    <w:rPr>
      <w:rFonts w:eastAsia="FangSong_GB2312"/>
      <w:sz w:val="18"/>
      <w:lang w:val="en-US" w:eastAsia="zh-CN" w:bidi="ar-SA"/>
    </w:rPr>
  </w:style>
  <w:style w:type="paragraph" w:customStyle="1" w:styleId="50">
    <w:name w:val="默认段落字体 Para Char"/>
    <w:basedOn w:val="1"/>
    <w:autoRedefine/>
    <w:qFormat/>
    <w:uiPriority w:val="0"/>
    <w:pPr>
      <w:spacing w:line="360" w:lineRule="auto"/>
      <w:ind w:firstLine="200" w:firstLineChars="200"/>
    </w:pPr>
    <w:rPr>
      <w:rFonts w:ascii="宋体" w:hAnsi="宋体" w:cs="宋体"/>
      <w:sz w:val="24"/>
      <w:szCs w:val="24"/>
    </w:rPr>
  </w:style>
  <w:style w:type="paragraph" w:customStyle="1" w:styleId="51">
    <w:name w:val="Char2 Char Char Char Char Char Char Char Char1 Char Char Char1 Char"/>
    <w:basedOn w:val="1"/>
    <w:autoRedefine/>
    <w:qFormat/>
    <w:uiPriority w:val="0"/>
    <w:pPr>
      <w:widowControl/>
      <w:spacing w:after="160" w:line="240" w:lineRule="exact"/>
      <w:jc w:val="left"/>
    </w:pPr>
    <w:rPr>
      <w:kern w:val="0"/>
      <w:sz w:val="20"/>
    </w:rPr>
  </w:style>
  <w:style w:type="character" w:customStyle="1" w:styleId="52">
    <w:name w:val="批注文字 Char"/>
    <w:link w:val="10"/>
    <w:autoRedefine/>
    <w:qFormat/>
    <w:uiPriority w:val="0"/>
    <w:rPr>
      <w:kern w:val="2"/>
      <w:sz w:val="21"/>
    </w:rPr>
  </w:style>
  <w:style w:type="paragraph" w:styleId="53">
    <w:name w:val="List Paragraph"/>
    <w:basedOn w:val="1"/>
    <w:autoRedefine/>
    <w:qFormat/>
    <w:uiPriority w:val="34"/>
    <w:pPr>
      <w:ind w:firstLine="420" w:firstLineChars="200"/>
    </w:pPr>
    <w:rPr>
      <w:rFonts w:ascii="Calibri" w:hAnsi="Calibri"/>
      <w:szCs w:val="22"/>
    </w:rPr>
  </w:style>
  <w:style w:type="paragraph" w:customStyle="1" w:styleId="54">
    <w:name w:val="修订1"/>
    <w:autoRedefine/>
    <w:hidden/>
    <w:semiHidden/>
    <w:qFormat/>
    <w:uiPriority w:val="99"/>
    <w:rPr>
      <w:rFonts w:ascii="Times New Roman" w:hAnsi="Times New Roman" w:cs="Times New Roman" w:eastAsiaTheme="minorEastAsia"/>
      <w:kern w:val="2"/>
      <w:sz w:val="21"/>
      <w:lang w:val="en-US" w:eastAsia="zh-CN" w:bidi="ar-SA"/>
    </w:rPr>
  </w:style>
  <w:style w:type="character" w:customStyle="1" w:styleId="55">
    <w:name w:val="标题 Char"/>
    <w:link w:val="26"/>
    <w:autoRedefine/>
    <w:qFormat/>
    <w:uiPriority w:val="0"/>
    <w:rPr>
      <w:rFonts w:ascii="Cambria" w:hAnsi="Cambria" w:cs="Times New Roman"/>
      <w:b/>
      <w:bCs/>
      <w:kern w:val="2"/>
      <w:sz w:val="32"/>
      <w:szCs w:val="32"/>
    </w:rPr>
  </w:style>
  <w:style w:type="character" w:styleId="56">
    <w:name w:val="Placeholder Text"/>
    <w:basedOn w:val="30"/>
    <w:autoRedefine/>
    <w:semiHidden/>
    <w:qFormat/>
    <w:uiPriority w:val="99"/>
    <w:rPr>
      <w:color w:val="808080"/>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615E1-C1F6-411C-B86C-01054538B260}">
  <ds:schemaRefs/>
</ds:datastoreItem>
</file>

<file path=docProps/app.xml><?xml version="1.0" encoding="utf-8"?>
<Properties xmlns="http://schemas.openxmlformats.org/officeDocument/2006/extended-properties" xmlns:vt="http://schemas.openxmlformats.org/officeDocument/2006/docPropsVTypes">
  <Template>Normal</Template>
  <Pages>13</Pages>
  <Words>5849</Words>
  <Characters>2008</Characters>
  <Lines>16</Lines>
  <Paragraphs>15</Paragraphs>
  <TotalTime>37</TotalTime>
  <ScaleCrop>false</ScaleCrop>
  <LinksUpToDate>false</LinksUpToDate>
  <CharactersWithSpaces>7842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2018-07-12T10:26:00Z</dcterms:created>
  <dc:creator>微软用户</dc:creator>
  <cp:lastModifiedBy>王东卓</cp:lastModifiedBy>
  <cp:lastPrinted>2023-12-08T06:50:00Z</cp:lastPrinted>
  <dcterms:modified xsi:type="dcterms:W3CDTF">2024-01-10T00:06:15Z</dcterms:modified>
  <dc:title>中国船舶重工集团公司拟将直属企业</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-1529438988</vt:i4>
  </property>
  <property fmtid="{D5CDD505-2E9C-101B-9397-08002B2CF9AE}" pid="3" name="KSOProductBuildVer">
    <vt:lpwstr>2052-12.1.0.16120</vt:lpwstr>
  </property>
  <property fmtid="{D5CDD505-2E9C-101B-9397-08002B2CF9AE}" pid="4" name="ICV">
    <vt:lpwstr>99AB297AFA5F4E65A5741E80052FCBC4</vt:lpwstr>
  </property>
</Properties>
</file>