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color w:val="1E1C11" w:themeColor="background2" w:themeShade="1A"/>
          <w:sz w:val="36"/>
        </w:rPr>
      </w:pPr>
    </w:p>
    <w:p>
      <w:pPr>
        <w:shd w:val="clear"/>
        <w:jc w:val="center"/>
        <w:rPr>
          <w:rFonts w:ascii="宋体" w:hAnsi="宋体"/>
          <w:b/>
          <w:color w:val="auto"/>
          <w:sz w:val="48"/>
          <w:szCs w:val="48"/>
        </w:rPr>
      </w:pPr>
      <w:r>
        <w:rPr>
          <w:rFonts w:hint="eastAsia" w:ascii="宋体" w:hAnsi="宋体"/>
          <w:b/>
          <w:color w:val="auto"/>
          <w:sz w:val="48"/>
          <w:szCs w:val="48"/>
        </w:rPr>
        <w:t>房 地 产 估 价 报 告</w:t>
      </w:r>
    </w:p>
    <w:p>
      <w:pPr>
        <w:shd w:val="clear"/>
        <w:jc w:val="center"/>
        <w:rPr>
          <w:rFonts w:asciiTheme="minorEastAsia" w:hAnsiTheme="minorEastAsia" w:eastAsiaTheme="minorEastAsia"/>
          <w:b/>
          <w:color w:val="auto"/>
          <w:sz w:val="44"/>
        </w:rPr>
      </w:pPr>
    </w:p>
    <w:p>
      <w:pPr>
        <w:shd w:val="clear"/>
        <w:jc w:val="center"/>
        <w:rPr>
          <w:rFonts w:asciiTheme="minorEastAsia" w:hAnsiTheme="minorEastAsia" w:eastAsiaTheme="minorEastAsia"/>
          <w:b/>
          <w:color w:val="auto"/>
          <w:sz w:val="36"/>
        </w:rPr>
      </w:pPr>
    </w:p>
    <w:p>
      <w:pPr>
        <w:shd w:val="clear"/>
        <w:spacing w:line="540" w:lineRule="exact"/>
        <w:ind w:left="3024" w:leftChars="406" w:right="-60" w:rightChars="-23" w:hanging="1968" w:hangingChars="700"/>
        <w:rPr>
          <w:rFonts w:asciiTheme="minorEastAsia" w:hAnsiTheme="minorEastAsia" w:eastAsiaTheme="minorEastAsia"/>
          <w:b/>
          <w:color w:val="auto"/>
          <w:spacing w:val="0"/>
          <w:sz w:val="28"/>
        </w:rPr>
      </w:pPr>
      <w:r>
        <w:rPr>
          <w:rFonts w:hint="eastAsia" w:asciiTheme="minorEastAsia" w:hAnsiTheme="minorEastAsia" w:eastAsiaTheme="minorEastAsia"/>
          <w:b/>
          <w:color w:val="auto"/>
          <w:spacing w:val="0"/>
          <w:sz w:val="28"/>
        </w:rPr>
        <w:t>估价项目名称：</w:t>
      </w:r>
      <w:r>
        <w:rPr>
          <w:rFonts w:hint="eastAsia" w:asciiTheme="minorEastAsia" w:hAnsiTheme="minorEastAsia" w:eastAsiaTheme="minorEastAsia"/>
          <w:b/>
          <w:color w:val="auto"/>
          <w:spacing w:val="0"/>
          <w:sz w:val="28"/>
          <w:lang w:eastAsia="zh-CN"/>
        </w:rPr>
        <w:t>六安市开发区经六路东侧的土地使用权及地上建筑物、附属物</w:t>
      </w:r>
      <w:r>
        <w:rPr>
          <w:rFonts w:hint="eastAsia" w:asciiTheme="minorEastAsia" w:hAnsiTheme="minorEastAsia" w:eastAsiaTheme="minorEastAsia"/>
          <w:b/>
          <w:color w:val="auto"/>
          <w:spacing w:val="0"/>
          <w:sz w:val="28"/>
        </w:rPr>
        <w:t>市场价值评估</w:t>
      </w:r>
    </w:p>
    <w:p>
      <w:pPr>
        <w:shd w:val="clear"/>
        <w:spacing w:line="540" w:lineRule="exact"/>
        <w:ind w:left="3024" w:leftChars="406" w:right="-471" w:rightChars="-181" w:hanging="1968" w:hangingChars="700"/>
        <w:rPr>
          <w:rFonts w:asciiTheme="minorEastAsia" w:hAnsiTheme="minorEastAsia" w:eastAsiaTheme="minorEastAsia"/>
          <w:b/>
          <w:color w:val="auto"/>
          <w:spacing w:val="0"/>
          <w:sz w:val="28"/>
        </w:rPr>
      </w:pPr>
    </w:p>
    <w:p>
      <w:pPr>
        <w:shd w:val="clear"/>
        <w:spacing w:line="540" w:lineRule="exact"/>
        <w:ind w:left="3024" w:leftChars="406" w:right="-471" w:rightChars="-181" w:hanging="1968" w:hangingChars="700"/>
        <w:rPr>
          <w:rFonts w:hint="eastAsia" w:asciiTheme="minorEastAsia" w:hAnsiTheme="minorEastAsia" w:eastAsiaTheme="minorEastAsia"/>
          <w:b/>
          <w:color w:val="auto"/>
          <w:spacing w:val="0"/>
          <w:sz w:val="28"/>
          <w:lang w:eastAsia="zh-CN"/>
        </w:rPr>
      </w:pPr>
      <w:r>
        <w:rPr>
          <w:rFonts w:hint="eastAsia" w:asciiTheme="minorEastAsia" w:hAnsiTheme="minorEastAsia" w:eastAsiaTheme="minorEastAsia"/>
          <w:b/>
          <w:color w:val="auto"/>
          <w:spacing w:val="0"/>
          <w:sz w:val="28"/>
        </w:rPr>
        <w:t>估价委托人：</w:t>
      </w:r>
      <w:r>
        <w:rPr>
          <w:rFonts w:hint="eastAsia" w:asciiTheme="minorEastAsia" w:hAnsiTheme="minorEastAsia" w:eastAsiaTheme="minorEastAsia"/>
          <w:b/>
          <w:color w:val="auto"/>
          <w:spacing w:val="0"/>
          <w:sz w:val="28"/>
          <w:lang w:eastAsia="zh-CN"/>
        </w:rPr>
        <w:t>六安市金安区人民法院</w:t>
      </w:r>
    </w:p>
    <w:p>
      <w:pPr>
        <w:shd w:val="clear"/>
        <w:spacing w:line="540" w:lineRule="exact"/>
        <w:ind w:left="3024" w:leftChars="406" w:right="-471" w:rightChars="-181" w:hanging="1968" w:hangingChars="700"/>
        <w:rPr>
          <w:rFonts w:asciiTheme="minorEastAsia" w:hAnsiTheme="minorEastAsia" w:eastAsiaTheme="minorEastAsia"/>
          <w:b/>
          <w:color w:val="auto"/>
          <w:spacing w:val="0"/>
          <w:sz w:val="28"/>
        </w:rPr>
      </w:pPr>
    </w:p>
    <w:p>
      <w:pPr>
        <w:shd w:val="clear"/>
        <w:spacing w:line="540" w:lineRule="exact"/>
        <w:ind w:left="3024" w:leftChars="406" w:right="-471" w:rightChars="-181" w:hanging="1968" w:hangingChars="700"/>
        <w:rPr>
          <w:rFonts w:asciiTheme="minorEastAsia" w:hAnsiTheme="minorEastAsia" w:eastAsiaTheme="minorEastAsia"/>
          <w:b/>
          <w:color w:val="auto"/>
          <w:spacing w:val="0"/>
          <w:sz w:val="28"/>
        </w:rPr>
      </w:pPr>
      <w:r>
        <w:rPr>
          <w:rFonts w:hint="eastAsia" w:asciiTheme="minorEastAsia" w:hAnsiTheme="minorEastAsia" w:eastAsiaTheme="minorEastAsia"/>
          <w:b/>
          <w:color w:val="auto"/>
          <w:spacing w:val="0"/>
          <w:sz w:val="28"/>
        </w:rPr>
        <w:t>房地产估价机构：安徽华兴房地产土地评估有限责任公司</w:t>
      </w:r>
    </w:p>
    <w:p>
      <w:pPr>
        <w:shd w:val="clear"/>
        <w:spacing w:line="540" w:lineRule="exact"/>
        <w:ind w:left="3024" w:leftChars="406" w:right="-471" w:rightChars="-181" w:hanging="1968" w:hangingChars="700"/>
        <w:rPr>
          <w:rFonts w:asciiTheme="minorEastAsia" w:hAnsiTheme="minorEastAsia" w:eastAsiaTheme="minorEastAsia"/>
          <w:b/>
          <w:color w:val="auto"/>
          <w:spacing w:val="0"/>
          <w:sz w:val="28"/>
        </w:rPr>
      </w:pPr>
    </w:p>
    <w:p>
      <w:pPr>
        <w:shd w:val="clear"/>
        <w:spacing w:line="540" w:lineRule="exact"/>
        <w:ind w:left="3164" w:leftChars="406" w:right="-471" w:rightChars="-181" w:hanging="2108" w:hangingChars="700"/>
        <w:rPr>
          <w:rFonts w:hint="eastAsia" w:asciiTheme="minorEastAsia" w:hAnsiTheme="minorEastAsia" w:eastAsiaTheme="minorEastAsia"/>
          <w:b/>
          <w:color w:val="auto"/>
          <w:sz w:val="28"/>
          <w:lang w:eastAsia="zh-CN"/>
        </w:rPr>
      </w:pPr>
      <w:r>
        <w:rPr>
          <w:rFonts w:hint="eastAsia" w:asciiTheme="minorEastAsia" w:hAnsiTheme="minorEastAsia" w:eastAsiaTheme="minorEastAsia"/>
          <w:b/>
          <w:color w:val="auto"/>
          <w:sz w:val="28"/>
        </w:rPr>
        <w:t>注册房地产估价师：</w:t>
      </w:r>
      <w:r>
        <w:rPr>
          <w:rFonts w:hint="eastAsia" w:asciiTheme="minorEastAsia" w:hAnsiTheme="minorEastAsia" w:eastAsiaTheme="minorEastAsia"/>
          <w:b/>
          <w:color w:val="auto"/>
          <w:sz w:val="28"/>
          <w:lang w:eastAsia="zh-CN"/>
        </w:rPr>
        <w:t>程</w:t>
      </w:r>
      <w:r>
        <w:rPr>
          <w:rFonts w:hint="eastAsia" w:asciiTheme="minorEastAsia" w:hAnsiTheme="minorEastAsia" w:eastAsiaTheme="minorEastAsia"/>
          <w:b/>
          <w:color w:val="auto"/>
          <w:sz w:val="28"/>
          <w:lang w:val="en-US" w:eastAsia="zh-CN"/>
        </w:rPr>
        <w:t xml:space="preserve">  </w:t>
      </w:r>
      <w:r>
        <w:rPr>
          <w:rFonts w:hint="eastAsia" w:asciiTheme="minorEastAsia" w:hAnsiTheme="minorEastAsia" w:eastAsiaTheme="minorEastAsia"/>
          <w:b/>
          <w:color w:val="auto"/>
          <w:sz w:val="28"/>
          <w:lang w:eastAsia="zh-CN"/>
        </w:rPr>
        <w:t>磊</w:t>
      </w:r>
      <w:r>
        <w:rPr>
          <w:rFonts w:hint="eastAsia" w:asciiTheme="minorEastAsia" w:hAnsiTheme="minorEastAsia" w:eastAsiaTheme="minorEastAsia"/>
          <w:b/>
          <w:color w:val="auto"/>
          <w:sz w:val="28"/>
        </w:rPr>
        <w:t xml:space="preserve">     </w:t>
      </w:r>
      <w:r>
        <w:rPr>
          <w:rFonts w:hint="eastAsia" w:cs="宋体" w:asciiTheme="minorEastAsia" w:hAnsiTheme="minorEastAsia" w:eastAsiaTheme="minorEastAsia"/>
          <w:b/>
          <w:color w:val="auto"/>
          <w:sz w:val="28"/>
          <w:szCs w:val="28"/>
          <w:lang w:eastAsia="zh-CN"/>
        </w:rPr>
        <w:t>3420180024</w:t>
      </w:r>
    </w:p>
    <w:p>
      <w:pPr>
        <w:shd w:val="clear"/>
        <w:spacing w:line="540" w:lineRule="exact"/>
        <w:ind w:left="2876" w:leftChars="1106" w:right="-471" w:rightChars="-181" w:firstLine="903" w:firstLineChars="300"/>
        <w:rPr>
          <w:rFonts w:asciiTheme="minorEastAsia" w:hAnsiTheme="minorEastAsia" w:eastAsiaTheme="minorEastAsia"/>
          <w:b/>
          <w:color w:val="auto"/>
          <w:sz w:val="28"/>
        </w:rPr>
      </w:pPr>
      <w:r>
        <w:rPr>
          <w:rFonts w:hint="eastAsia" w:asciiTheme="minorEastAsia" w:hAnsiTheme="minorEastAsia" w:eastAsiaTheme="minorEastAsia"/>
          <w:b/>
          <w:color w:val="auto"/>
          <w:sz w:val="28"/>
        </w:rPr>
        <w:t>侯金刚     3420200062</w:t>
      </w:r>
    </w:p>
    <w:p>
      <w:pPr>
        <w:shd w:val="clear"/>
        <w:spacing w:line="540" w:lineRule="exact"/>
        <w:ind w:left="2876" w:leftChars="1106" w:right="-471" w:rightChars="-181" w:firstLine="903" w:firstLineChars="300"/>
        <w:rPr>
          <w:rFonts w:asciiTheme="minorEastAsia" w:hAnsiTheme="minorEastAsia" w:eastAsiaTheme="minorEastAsia"/>
          <w:b/>
          <w:color w:val="auto"/>
          <w:sz w:val="28"/>
        </w:rPr>
      </w:pPr>
    </w:p>
    <w:p>
      <w:pPr>
        <w:shd w:val="clear"/>
        <w:spacing w:line="540" w:lineRule="exact"/>
        <w:ind w:left="3024" w:leftChars="406" w:right="-471" w:rightChars="-181" w:hanging="1968" w:hangingChars="700"/>
        <w:rPr>
          <w:rFonts w:hint="eastAsia" w:asciiTheme="minorEastAsia" w:hAnsiTheme="minorEastAsia" w:eastAsiaTheme="minorEastAsia"/>
          <w:b/>
          <w:bCs/>
          <w:color w:val="auto"/>
          <w:spacing w:val="0"/>
          <w:sz w:val="28"/>
          <w:lang w:eastAsia="zh-CN"/>
        </w:rPr>
      </w:pPr>
      <w:r>
        <w:rPr>
          <w:rFonts w:hint="eastAsia" w:asciiTheme="minorEastAsia" w:hAnsiTheme="minorEastAsia" w:eastAsiaTheme="minorEastAsia"/>
          <w:b/>
          <w:color w:val="auto"/>
          <w:spacing w:val="0"/>
          <w:sz w:val="28"/>
        </w:rPr>
        <w:t>估价报告出具日期：</w:t>
      </w:r>
      <w:r>
        <w:rPr>
          <w:rFonts w:hint="eastAsia" w:asciiTheme="minorEastAsia" w:hAnsiTheme="minorEastAsia" w:eastAsiaTheme="minorEastAsia"/>
          <w:b/>
          <w:bCs/>
          <w:color w:val="auto"/>
          <w:spacing w:val="0"/>
          <w:sz w:val="28"/>
          <w:lang w:eastAsia="zh-CN"/>
        </w:rPr>
        <w:t>2023年10月12日</w:t>
      </w:r>
    </w:p>
    <w:p>
      <w:pPr>
        <w:shd w:val="clear"/>
        <w:spacing w:line="540" w:lineRule="exact"/>
        <w:ind w:left="3024" w:leftChars="406" w:right="-471" w:rightChars="-181" w:hanging="1968" w:hangingChars="700"/>
        <w:rPr>
          <w:rFonts w:asciiTheme="minorEastAsia" w:hAnsiTheme="minorEastAsia" w:eastAsiaTheme="minorEastAsia"/>
          <w:b/>
          <w:bCs/>
          <w:color w:val="auto"/>
          <w:spacing w:val="0"/>
          <w:sz w:val="28"/>
        </w:rPr>
      </w:pPr>
    </w:p>
    <w:p>
      <w:pPr>
        <w:shd w:val="clear"/>
        <w:spacing w:line="540" w:lineRule="exact"/>
        <w:ind w:left="3024" w:leftChars="406" w:right="-471" w:rightChars="-181" w:hanging="1968" w:hangingChars="700"/>
        <w:rPr>
          <w:rFonts w:asciiTheme="minorEastAsia" w:hAnsiTheme="minorEastAsia" w:eastAsiaTheme="minorEastAsia"/>
          <w:b/>
          <w:bCs/>
          <w:color w:val="auto"/>
          <w:spacing w:val="0"/>
          <w:sz w:val="28"/>
        </w:rPr>
      </w:pPr>
      <w:r>
        <w:rPr>
          <w:rFonts w:hint="eastAsia" w:asciiTheme="minorEastAsia" w:hAnsiTheme="minorEastAsia" w:eastAsiaTheme="minorEastAsia"/>
          <w:b/>
          <w:color w:val="auto"/>
          <w:spacing w:val="0"/>
          <w:sz w:val="28"/>
        </w:rPr>
        <w:t>估价报告编号：</w:t>
      </w:r>
      <w:r>
        <w:rPr>
          <w:rFonts w:hint="eastAsia" w:asciiTheme="minorEastAsia" w:hAnsiTheme="minorEastAsia" w:eastAsiaTheme="minorEastAsia"/>
          <w:b/>
          <w:bCs/>
          <w:color w:val="auto"/>
          <w:spacing w:val="0"/>
          <w:sz w:val="28"/>
        </w:rPr>
        <w:t>皖华兴房估报字[202</w:t>
      </w:r>
      <w:r>
        <w:rPr>
          <w:rFonts w:hint="eastAsia" w:asciiTheme="minorEastAsia" w:hAnsiTheme="minorEastAsia" w:eastAsiaTheme="minorEastAsia"/>
          <w:b/>
          <w:bCs/>
          <w:color w:val="auto"/>
          <w:spacing w:val="0"/>
          <w:sz w:val="28"/>
          <w:lang w:val="en-US" w:eastAsia="zh-CN"/>
        </w:rPr>
        <w:t>3</w:t>
      </w:r>
      <w:r>
        <w:rPr>
          <w:rFonts w:hint="eastAsia" w:asciiTheme="minorEastAsia" w:hAnsiTheme="minorEastAsia" w:eastAsiaTheme="minorEastAsia"/>
          <w:b/>
          <w:bCs/>
          <w:color w:val="auto"/>
          <w:spacing w:val="0"/>
          <w:sz w:val="28"/>
        </w:rPr>
        <w:t>]第</w:t>
      </w:r>
      <w:r>
        <w:rPr>
          <w:rFonts w:hint="eastAsia" w:asciiTheme="minorEastAsia" w:hAnsiTheme="minorEastAsia" w:eastAsiaTheme="minorEastAsia"/>
          <w:b/>
          <w:bCs/>
          <w:color w:val="auto"/>
          <w:spacing w:val="0"/>
          <w:sz w:val="28"/>
          <w:lang w:val="en-US" w:eastAsia="zh-CN"/>
        </w:rPr>
        <w:t>8577</w:t>
      </w:r>
      <w:r>
        <w:rPr>
          <w:rFonts w:hint="eastAsia" w:asciiTheme="minorEastAsia" w:hAnsiTheme="minorEastAsia" w:eastAsiaTheme="minorEastAsia"/>
          <w:b/>
          <w:bCs/>
          <w:color w:val="auto"/>
          <w:spacing w:val="0"/>
          <w:sz w:val="28"/>
        </w:rPr>
        <w:t>号</w:t>
      </w:r>
    </w:p>
    <w:p>
      <w:pPr>
        <w:shd w:val="clear"/>
        <w:spacing w:line="540" w:lineRule="exact"/>
        <w:ind w:right="-471" w:rightChars="-181"/>
        <w:jc w:val="center"/>
        <w:rPr>
          <w:rFonts w:asciiTheme="minorEastAsia" w:hAnsiTheme="minorEastAsia" w:eastAsiaTheme="minorEastAsia"/>
          <w:b/>
          <w:color w:val="auto"/>
          <w:spacing w:val="0"/>
          <w:sz w:val="28"/>
          <w:szCs w:val="28"/>
        </w:rPr>
      </w:pPr>
    </w:p>
    <w:p>
      <w:pPr>
        <w:shd w:val="clear"/>
        <w:spacing w:line="480" w:lineRule="exact"/>
        <w:jc w:val="center"/>
        <w:rPr>
          <w:rFonts w:asciiTheme="minorEastAsia" w:hAnsiTheme="minorEastAsia" w:eastAsiaTheme="minorEastAsia"/>
          <w:b/>
          <w:color w:val="auto"/>
          <w:spacing w:val="40"/>
          <w:sz w:val="36"/>
          <w:szCs w:val="36"/>
        </w:rPr>
      </w:pPr>
    </w:p>
    <w:p>
      <w:pPr>
        <w:shd w:val="clear"/>
        <w:spacing w:line="480" w:lineRule="exact"/>
        <w:jc w:val="center"/>
        <w:rPr>
          <w:rFonts w:asciiTheme="minorEastAsia" w:hAnsiTheme="minorEastAsia" w:eastAsiaTheme="minorEastAsia"/>
          <w:b/>
          <w:color w:val="auto"/>
          <w:spacing w:val="40"/>
          <w:sz w:val="36"/>
          <w:szCs w:val="36"/>
        </w:rPr>
      </w:pPr>
    </w:p>
    <w:p>
      <w:pPr>
        <w:shd w:val="clear"/>
        <w:spacing w:line="480" w:lineRule="exact"/>
        <w:jc w:val="center"/>
        <w:rPr>
          <w:rFonts w:asciiTheme="minorEastAsia" w:hAnsiTheme="minorEastAsia" w:eastAsiaTheme="minorEastAsia"/>
          <w:b/>
          <w:color w:val="auto"/>
          <w:spacing w:val="40"/>
          <w:sz w:val="36"/>
          <w:szCs w:val="36"/>
        </w:rPr>
      </w:pPr>
    </w:p>
    <w:p>
      <w:pPr>
        <w:shd w:val="clear"/>
        <w:spacing w:line="480" w:lineRule="exact"/>
        <w:jc w:val="center"/>
        <w:rPr>
          <w:rFonts w:asciiTheme="minorEastAsia" w:hAnsiTheme="minorEastAsia" w:eastAsiaTheme="minorEastAsia"/>
          <w:b/>
          <w:color w:val="auto"/>
          <w:spacing w:val="40"/>
          <w:sz w:val="36"/>
          <w:szCs w:val="36"/>
        </w:rPr>
      </w:pPr>
    </w:p>
    <w:p>
      <w:pPr>
        <w:shd w:val="clear"/>
        <w:spacing w:line="480" w:lineRule="exact"/>
        <w:jc w:val="center"/>
        <w:rPr>
          <w:rFonts w:asciiTheme="minorEastAsia" w:hAnsiTheme="minorEastAsia" w:eastAsiaTheme="minorEastAsia"/>
          <w:b/>
          <w:color w:val="auto"/>
          <w:spacing w:val="40"/>
          <w:sz w:val="36"/>
          <w:szCs w:val="36"/>
        </w:rPr>
      </w:pPr>
    </w:p>
    <w:p>
      <w:pPr>
        <w:shd w:val="clear"/>
        <w:spacing w:line="480" w:lineRule="exact"/>
        <w:jc w:val="center"/>
        <w:rPr>
          <w:rFonts w:asciiTheme="minorEastAsia" w:hAnsiTheme="minorEastAsia" w:eastAsiaTheme="minorEastAsia"/>
          <w:b/>
          <w:color w:val="auto"/>
          <w:spacing w:val="40"/>
          <w:sz w:val="36"/>
          <w:szCs w:val="36"/>
        </w:rPr>
      </w:pPr>
    </w:p>
    <w:p>
      <w:pPr>
        <w:shd w:val="clear"/>
        <w:spacing w:line="480" w:lineRule="exact"/>
        <w:jc w:val="center"/>
        <w:rPr>
          <w:rFonts w:asciiTheme="minorEastAsia" w:hAnsiTheme="minorEastAsia" w:eastAsiaTheme="minorEastAsia"/>
          <w:b/>
          <w:color w:val="auto"/>
          <w:spacing w:val="40"/>
          <w:sz w:val="36"/>
          <w:szCs w:val="36"/>
        </w:rPr>
      </w:pPr>
    </w:p>
    <w:p>
      <w:pPr>
        <w:shd w:val="clear"/>
        <w:spacing w:line="480" w:lineRule="exact"/>
        <w:rPr>
          <w:rFonts w:asciiTheme="minorEastAsia" w:hAnsiTheme="minorEastAsia" w:eastAsiaTheme="minorEastAsia"/>
          <w:b/>
          <w:color w:val="auto"/>
          <w:spacing w:val="40"/>
          <w:sz w:val="36"/>
          <w:szCs w:val="36"/>
        </w:rPr>
      </w:pPr>
    </w:p>
    <w:p>
      <w:pPr>
        <w:shd w:val="clear"/>
        <w:spacing w:line="480" w:lineRule="exact"/>
        <w:jc w:val="center"/>
        <w:rPr>
          <w:rFonts w:asciiTheme="minorEastAsia" w:hAnsiTheme="minorEastAsia" w:eastAsiaTheme="minorEastAsia"/>
          <w:b/>
          <w:color w:val="auto"/>
          <w:spacing w:val="40"/>
          <w:sz w:val="36"/>
          <w:szCs w:val="36"/>
        </w:rPr>
      </w:pPr>
      <w:r>
        <w:rPr>
          <w:rFonts w:hint="eastAsia" w:asciiTheme="minorEastAsia" w:hAnsiTheme="minorEastAsia" w:eastAsiaTheme="minorEastAsia"/>
          <w:b/>
          <w:color w:val="auto"/>
          <w:spacing w:val="40"/>
          <w:sz w:val="36"/>
          <w:szCs w:val="36"/>
        </w:rPr>
        <w:t>致估价委托人函</w:t>
      </w:r>
    </w:p>
    <w:p>
      <w:pPr>
        <w:shd w:val="clear"/>
        <w:spacing w:line="500" w:lineRule="exact"/>
        <w:rPr>
          <w:rFonts w:asciiTheme="minorEastAsia" w:hAnsiTheme="minorEastAsia" w:eastAsiaTheme="minorEastAsia"/>
          <w:b/>
          <w:color w:val="auto"/>
          <w:spacing w:val="0"/>
          <w:szCs w:val="24"/>
        </w:rPr>
      </w:pPr>
      <w:r>
        <w:rPr>
          <w:rFonts w:hint="eastAsia" w:asciiTheme="minorEastAsia" w:hAnsiTheme="minorEastAsia" w:eastAsiaTheme="minorEastAsia"/>
          <w:b/>
          <w:color w:val="auto"/>
          <w:spacing w:val="0"/>
          <w:szCs w:val="24"/>
          <w:lang w:eastAsia="zh-CN"/>
        </w:rPr>
        <w:t>六安市金安区人民法院</w:t>
      </w:r>
      <w:r>
        <w:rPr>
          <w:rFonts w:hint="eastAsia" w:asciiTheme="minorEastAsia" w:hAnsiTheme="minorEastAsia" w:eastAsiaTheme="minorEastAsia"/>
          <w:b/>
          <w:color w:val="auto"/>
          <w:spacing w:val="0"/>
          <w:szCs w:val="24"/>
        </w:rPr>
        <w:t>：</w:t>
      </w:r>
    </w:p>
    <w:p>
      <w:pPr>
        <w:shd w:val="clear"/>
        <w:spacing w:line="500" w:lineRule="exact"/>
        <w:ind w:firstLine="480" w:firstLineChars="200"/>
        <w:rPr>
          <w:rFonts w:asciiTheme="minorEastAsia" w:hAnsiTheme="minorEastAsia" w:eastAsiaTheme="minorEastAsia"/>
          <w:color w:val="auto"/>
          <w:spacing w:val="0"/>
        </w:rPr>
      </w:pPr>
      <w:r>
        <w:rPr>
          <w:rFonts w:hint="eastAsia" w:asciiTheme="minorEastAsia" w:hAnsiTheme="minorEastAsia" w:eastAsiaTheme="minorEastAsia"/>
          <w:color w:val="auto"/>
          <w:spacing w:val="0"/>
        </w:rPr>
        <w:t>我公司受贵</w:t>
      </w:r>
      <w:r>
        <w:rPr>
          <w:rFonts w:hint="eastAsia" w:asciiTheme="minorEastAsia" w:hAnsiTheme="minorEastAsia" w:eastAsiaTheme="minorEastAsia"/>
          <w:color w:val="auto"/>
          <w:spacing w:val="0"/>
          <w:lang w:eastAsia="zh-CN"/>
        </w:rPr>
        <w:t>院</w:t>
      </w:r>
      <w:r>
        <w:rPr>
          <w:rFonts w:hint="eastAsia" w:ascii="宋体" w:hAnsi="宋体"/>
          <w:spacing w:val="0"/>
        </w:rPr>
        <w:t>【《司法鉴定委托书》</w:t>
      </w:r>
      <w:r>
        <w:rPr>
          <w:rFonts w:hint="eastAsia" w:ascii="宋体" w:hAnsi="宋体"/>
          <w:spacing w:val="0"/>
          <w:lang w:eastAsia="zh-CN"/>
        </w:rPr>
        <w:t>（2023）皖</w:t>
      </w:r>
      <w:r>
        <w:rPr>
          <w:rFonts w:hint="eastAsia" w:ascii="宋体" w:hAnsi="宋体"/>
          <w:spacing w:val="0"/>
          <w:lang w:val="en-US" w:eastAsia="zh-CN"/>
        </w:rPr>
        <w:t>1502</w:t>
      </w:r>
      <w:r>
        <w:rPr>
          <w:rFonts w:hint="eastAsia" w:ascii="宋体" w:hAnsi="宋体"/>
          <w:spacing w:val="0"/>
          <w:lang w:eastAsia="zh-CN"/>
        </w:rPr>
        <w:t>法鉴字</w:t>
      </w:r>
      <w:r>
        <w:rPr>
          <w:rFonts w:hint="eastAsia" w:ascii="宋体" w:hAnsi="宋体"/>
          <w:spacing w:val="0"/>
          <w:lang w:val="en-US" w:eastAsia="zh-CN"/>
        </w:rPr>
        <w:t>222</w:t>
      </w:r>
      <w:r>
        <w:rPr>
          <w:rFonts w:hint="eastAsia" w:ascii="宋体" w:hAnsi="宋体"/>
          <w:spacing w:val="0"/>
          <w:lang w:eastAsia="zh-CN"/>
        </w:rPr>
        <w:t>号</w:t>
      </w:r>
      <w:r>
        <w:rPr>
          <w:rFonts w:hint="eastAsia" w:ascii="宋体" w:hAnsi="宋体"/>
          <w:spacing w:val="0"/>
        </w:rPr>
        <w:t>】</w:t>
      </w:r>
      <w:r>
        <w:rPr>
          <w:rFonts w:hint="eastAsia" w:ascii="宋体" w:hAnsi="宋体"/>
          <w:spacing w:val="0"/>
          <w:lang w:eastAsia="zh-CN"/>
        </w:rPr>
        <w:t>的</w:t>
      </w:r>
      <w:r>
        <w:rPr>
          <w:rFonts w:hint="eastAsia" w:asciiTheme="minorEastAsia" w:hAnsiTheme="minorEastAsia" w:eastAsiaTheme="minorEastAsia"/>
          <w:color w:val="auto"/>
          <w:spacing w:val="0"/>
        </w:rPr>
        <w:t>委托，对位于</w:t>
      </w:r>
      <w:r>
        <w:rPr>
          <w:rFonts w:hint="eastAsia" w:asciiTheme="minorEastAsia" w:hAnsiTheme="minorEastAsia" w:eastAsiaTheme="minorEastAsia"/>
          <w:color w:val="auto"/>
          <w:spacing w:val="0"/>
          <w:szCs w:val="22"/>
          <w:lang w:eastAsia="zh-CN"/>
        </w:rPr>
        <w:t>六安市开发区经六路东侧的土地使用权及地上建筑物、附属物、绿化苗木等</w:t>
      </w:r>
      <w:r>
        <w:rPr>
          <w:rFonts w:hint="eastAsia" w:asciiTheme="minorEastAsia" w:hAnsiTheme="minorEastAsia" w:eastAsiaTheme="minorEastAsia"/>
          <w:color w:val="auto"/>
          <w:spacing w:val="0"/>
        </w:rPr>
        <w:t>于价值时点</w:t>
      </w:r>
      <w:r>
        <w:rPr>
          <w:rFonts w:hint="eastAsia" w:asciiTheme="minorEastAsia" w:hAnsiTheme="minorEastAsia" w:eastAsiaTheme="minorEastAsia"/>
          <w:color w:val="auto"/>
          <w:spacing w:val="0"/>
          <w:lang w:eastAsia="zh-CN"/>
        </w:rPr>
        <w:t>2023年09月13日</w:t>
      </w:r>
      <w:r>
        <w:rPr>
          <w:rFonts w:hint="eastAsia" w:asciiTheme="minorEastAsia" w:hAnsiTheme="minorEastAsia" w:eastAsiaTheme="minorEastAsia"/>
          <w:color w:val="auto"/>
          <w:spacing w:val="0"/>
        </w:rPr>
        <w:t>的市场价值进行了评估。</w:t>
      </w:r>
    </w:p>
    <w:p>
      <w:pPr>
        <w:shd w:val="clear"/>
        <w:tabs>
          <w:tab w:val="left" w:pos="2449"/>
          <w:tab w:val="center" w:pos="4534"/>
        </w:tabs>
        <w:spacing w:line="480" w:lineRule="exact"/>
        <w:ind w:firstLine="360" w:firstLineChars="150"/>
        <w:jc w:val="center"/>
        <w:rPr>
          <w:rFonts w:asciiTheme="minorEastAsia" w:hAnsiTheme="minorEastAsia" w:eastAsiaTheme="minorEastAsia"/>
          <w:color w:val="auto"/>
          <w:spacing w:val="0"/>
          <w:szCs w:val="22"/>
        </w:rPr>
      </w:pPr>
      <w:r>
        <w:rPr>
          <w:rFonts w:hint="eastAsia" w:asciiTheme="minorEastAsia" w:hAnsiTheme="minorEastAsia" w:eastAsiaTheme="minorEastAsia"/>
          <w:color w:val="auto"/>
          <w:spacing w:val="0"/>
          <w:szCs w:val="22"/>
        </w:rPr>
        <w:t>估价对象工业用地一览表</w:t>
      </w:r>
    </w:p>
    <w:tbl>
      <w:tblPr>
        <w:tblStyle w:val="18"/>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1452"/>
        <w:gridCol w:w="1836"/>
        <w:gridCol w:w="1157"/>
        <w:gridCol w:w="1083"/>
        <w:gridCol w:w="1007"/>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492" w:type="dxa"/>
            <w:tcBorders>
              <w:top w:val="single" w:color="auto" w:sz="4" w:space="0"/>
              <w:left w:val="single" w:color="auto" w:sz="4" w:space="0"/>
              <w:bottom w:val="single" w:color="auto" w:sz="4" w:space="0"/>
              <w:right w:val="single" w:color="auto" w:sz="4" w:space="0"/>
            </w:tcBorders>
            <w:noWrap/>
            <w:vAlign w:val="center"/>
          </w:tcPr>
          <w:p>
            <w:pPr>
              <w:widowControl/>
              <w:shd w:val="clear"/>
              <w:spacing w:line="0" w:lineRule="atLeast"/>
              <w:jc w:val="center"/>
              <w:rPr>
                <w:rFonts w:hint="eastAsia" w:cs="宋体" w:asciiTheme="minorEastAsia" w:hAnsiTheme="minorEastAsia" w:eastAsiaTheme="minorEastAsia"/>
                <w:b/>
                <w:bCs/>
                <w:color w:val="auto"/>
                <w:kern w:val="0"/>
                <w:sz w:val="21"/>
                <w:szCs w:val="21"/>
                <w:lang w:eastAsia="zh-CN"/>
              </w:rPr>
            </w:pPr>
            <w:r>
              <w:rPr>
                <w:rFonts w:hint="eastAsia" w:cs="宋体" w:asciiTheme="minorEastAsia" w:hAnsiTheme="minorEastAsia" w:eastAsiaTheme="minorEastAsia"/>
                <w:b/>
                <w:bCs/>
                <w:color w:val="auto"/>
                <w:kern w:val="0"/>
                <w:sz w:val="21"/>
                <w:szCs w:val="21"/>
                <w:lang w:eastAsia="zh-CN"/>
              </w:rPr>
              <w:t>土地使用权人</w:t>
            </w:r>
          </w:p>
        </w:tc>
        <w:tc>
          <w:tcPr>
            <w:tcW w:w="1452" w:type="dxa"/>
            <w:tcBorders>
              <w:top w:val="single" w:color="auto" w:sz="4" w:space="0"/>
              <w:left w:val="single" w:color="auto" w:sz="4" w:space="0"/>
              <w:bottom w:val="single" w:color="auto" w:sz="4" w:space="0"/>
              <w:right w:val="single" w:color="auto" w:sz="4" w:space="0"/>
            </w:tcBorders>
            <w:noWrap/>
            <w:vAlign w:val="center"/>
          </w:tcPr>
          <w:p>
            <w:pPr>
              <w:widowControl/>
              <w:shd w:val="clear"/>
              <w:spacing w:line="0" w:lineRule="atLeast"/>
              <w:jc w:val="center"/>
              <w:rPr>
                <w:rFonts w:cs="宋体" w:asciiTheme="minorEastAsia" w:hAnsiTheme="minorEastAsia" w:eastAsiaTheme="minorEastAsia"/>
                <w:b/>
                <w:bCs/>
                <w:color w:val="auto"/>
                <w:kern w:val="0"/>
                <w:sz w:val="21"/>
                <w:szCs w:val="21"/>
              </w:rPr>
            </w:pPr>
            <w:r>
              <w:rPr>
                <w:rFonts w:hint="eastAsia" w:cs="宋体" w:asciiTheme="minorEastAsia" w:hAnsiTheme="minorEastAsia" w:eastAsiaTheme="minorEastAsia"/>
                <w:b/>
                <w:bCs/>
                <w:color w:val="auto"/>
                <w:kern w:val="0"/>
                <w:sz w:val="21"/>
                <w:szCs w:val="21"/>
              </w:rPr>
              <w:t>土地坐落</w:t>
            </w:r>
          </w:p>
        </w:tc>
        <w:tc>
          <w:tcPr>
            <w:tcW w:w="1836" w:type="dxa"/>
            <w:tcBorders>
              <w:top w:val="single" w:color="auto" w:sz="4" w:space="0"/>
              <w:left w:val="single" w:color="auto" w:sz="4" w:space="0"/>
              <w:bottom w:val="single" w:color="auto" w:sz="4" w:space="0"/>
              <w:right w:val="single" w:color="auto" w:sz="4" w:space="0"/>
            </w:tcBorders>
            <w:vAlign w:val="center"/>
          </w:tcPr>
          <w:p>
            <w:pPr>
              <w:widowControl/>
              <w:shd w:val="clear"/>
              <w:spacing w:line="0" w:lineRule="atLeast"/>
              <w:jc w:val="center"/>
              <w:rPr>
                <w:rFonts w:hint="eastAsia" w:cs="宋体" w:asciiTheme="minorEastAsia" w:hAnsiTheme="minorEastAsia" w:eastAsiaTheme="minorEastAsia"/>
                <w:b/>
                <w:bCs/>
                <w:color w:val="auto"/>
                <w:kern w:val="0"/>
                <w:sz w:val="21"/>
                <w:szCs w:val="21"/>
              </w:rPr>
            </w:pPr>
            <w:r>
              <w:rPr>
                <w:rFonts w:hint="eastAsia" w:cs="宋体" w:asciiTheme="minorEastAsia" w:hAnsiTheme="minorEastAsia" w:eastAsiaTheme="minorEastAsia"/>
                <w:b/>
                <w:bCs/>
                <w:color w:val="auto"/>
                <w:kern w:val="0"/>
                <w:sz w:val="21"/>
                <w:szCs w:val="21"/>
              </w:rPr>
              <w:t>权证字号</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hd w:val="clear"/>
              <w:spacing w:line="0" w:lineRule="atLeast"/>
              <w:jc w:val="center"/>
              <w:rPr>
                <w:rFonts w:hint="eastAsia" w:cs="宋体" w:asciiTheme="minorEastAsia" w:hAnsiTheme="minorEastAsia" w:eastAsiaTheme="minorEastAsia"/>
                <w:b/>
                <w:bCs/>
                <w:color w:val="auto"/>
                <w:kern w:val="0"/>
                <w:sz w:val="21"/>
                <w:szCs w:val="21"/>
              </w:rPr>
            </w:pPr>
            <w:r>
              <w:rPr>
                <w:rFonts w:hint="eastAsia" w:cs="宋体" w:asciiTheme="minorEastAsia" w:hAnsiTheme="minorEastAsia" w:eastAsiaTheme="minorEastAsia"/>
                <w:b/>
                <w:bCs/>
                <w:color w:val="auto"/>
                <w:kern w:val="0"/>
                <w:sz w:val="21"/>
                <w:szCs w:val="21"/>
              </w:rPr>
              <w:t>土地面积（㎡）</w:t>
            </w:r>
          </w:p>
        </w:tc>
        <w:tc>
          <w:tcPr>
            <w:tcW w:w="1083" w:type="dxa"/>
            <w:tcBorders>
              <w:top w:val="single" w:color="auto" w:sz="4" w:space="0"/>
              <w:left w:val="single" w:color="auto" w:sz="4" w:space="0"/>
              <w:bottom w:val="single" w:color="auto" w:sz="4" w:space="0"/>
              <w:right w:val="single" w:color="auto" w:sz="4" w:space="0"/>
            </w:tcBorders>
            <w:noWrap/>
            <w:vAlign w:val="center"/>
          </w:tcPr>
          <w:p>
            <w:pPr>
              <w:widowControl/>
              <w:shd w:val="clear"/>
              <w:spacing w:line="0" w:lineRule="atLeast"/>
              <w:jc w:val="center"/>
              <w:rPr>
                <w:rFonts w:hint="eastAsia" w:cs="宋体" w:asciiTheme="minorEastAsia" w:hAnsiTheme="minorEastAsia" w:eastAsiaTheme="minorEastAsia"/>
                <w:b/>
                <w:bCs/>
                <w:color w:val="auto"/>
                <w:kern w:val="0"/>
                <w:sz w:val="21"/>
                <w:szCs w:val="21"/>
              </w:rPr>
            </w:pPr>
            <w:r>
              <w:rPr>
                <w:rFonts w:hint="eastAsia" w:cs="宋体" w:asciiTheme="minorEastAsia" w:hAnsiTheme="minorEastAsia" w:eastAsiaTheme="minorEastAsia"/>
                <w:b/>
                <w:bCs/>
                <w:color w:val="auto"/>
                <w:kern w:val="0"/>
                <w:sz w:val="21"/>
                <w:szCs w:val="21"/>
              </w:rPr>
              <w:t>地类</w:t>
            </w:r>
          </w:p>
          <w:p>
            <w:pPr>
              <w:widowControl/>
              <w:shd w:val="clear"/>
              <w:spacing w:line="0" w:lineRule="atLeast"/>
              <w:jc w:val="center"/>
              <w:rPr>
                <w:rFonts w:hint="eastAsia" w:cs="宋体" w:asciiTheme="minorEastAsia" w:hAnsiTheme="minorEastAsia" w:eastAsiaTheme="minorEastAsia"/>
                <w:b/>
                <w:bCs/>
                <w:color w:val="auto"/>
                <w:kern w:val="0"/>
                <w:sz w:val="21"/>
                <w:szCs w:val="21"/>
              </w:rPr>
            </w:pPr>
            <w:r>
              <w:rPr>
                <w:rFonts w:hint="eastAsia" w:cs="宋体" w:asciiTheme="minorEastAsia" w:hAnsiTheme="minorEastAsia" w:eastAsiaTheme="minorEastAsia"/>
                <w:b/>
                <w:bCs/>
                <w:color w:val="auto"/>
                <w:kern w:val="0"/>
                <w:sz w:val="21"/>
                <w:szCs w:val="21"/>
              </w:rPr>
              <w:t>（用途）</w:t>
            </w:r>
          </w:p>
        </w:tc>
        <w:tc>
          <w:tcPr>
            <w:tcW w:w="1007" w:type="dxa"/>
            <w:tcBorders>
              <w:top w:val="single" w:color="auto" w:sz="4" w:space="0"/>
              <w:left w:val="single" w:color="auto" w:sz="4" w:space="0"/>
              <w:bottom w:val="single" w:color="auto" w:sz="4" w:space="0"/>
              <w:right w:val="single" w:color="auto" w:sz="4" w:space="0"/>
            </w:tcBorders>
            <w:noWrap/>
            <w:vAlign w:val="center"/>
          </w:tcPr>
          <w:p>
            <w:pPr>
              <w:widowControl/>
              <w:shd w:val="clear"/>
              <w:spacing w:line="0" w:lineRule="atLeast"/>
              <w:jc w:val="center"/>
              <w:rPr>
                <w:rFonts w:hint="eastAsia" w:cs="宋体" w:asciiTheme="minorEastAsia" w:hAnsiTheme="minorEastAsia" w:eastAsiaTheme="minorEastAsia"/>
                <w:b/>
                <w:bCs/>
                <w:color w:val="auto"/>
                <w:kern w:val="0"/>
                <w:sz w:val="21"/>
                <w:szCs w:val="21"/>
              </w:rPr>
            </w:pPr>
            <w:r>
              <w:rPr>
                <w:rFonts w:hint="eastAsia" w:cs="宋体" w:asciiTheme="minorEastAsia" w:hAnsiTheme="minorEastAsia" w:eastAsiaTheme="minorEastAsia"/>
                <w:b/>
                <w:bCs/>
                <w:color w:val="auto"/>
                <w:kern w:val="0"/>
                <w:sz w:val="21"/>
                <w:szCs w:val="21"/>
              </w:rPr>
              <w:t>使用权类型</w:t>
            </w:r>
          </w:p>
        </w:tc>
        <w:tc>
          <w:tcPr>
            <w:tcW w:w="1591" w:type="dxa"/>
            <w:tcBorders>
              <w:top w:val="single" w:color="auto" w:sz="4" w:space="0"/>
              <w:left w:val="single" w:color="auto" w:sz="4" w:space="0"/>
              <w:bottom w:val="single" w:color="auto" w:sz="4" w:space="0"/>
              <w:right w:val="single" w:color="auto" w:sz="4" w:space="0"/>
            </w:tcBorders>
            <w:noWrap/>
            <w:vAlign w:val="center"/>
          </w:tcPr>
          <w:p>
            <w:pPr>
              <w:widowControl/>
              <w:shd w:val="clear"/>
              <w:spacing w:line="0" w:lineRule="atLeast"/>
              <w:jc w:val="center"/>
              <w:rPr>
                <w:rFonts w:hint="eastAsia" w:cs="宋体" w:asciiTheme="minorEastAsia" w:hAnsiTheme="minorEastAsia" w:eastAsiaTheme="minorEastAsia"/>
                <w:b/>
                <w:bCs/>
                <w:color w:val="auto"/>
                <w:kern w:val="0"/>
                <w:sz w:val="21"/>
                <w:szCs w:val="21"/>
              </w:rPr>
            </w:pPr>
            <w:r>
              <w:rPr>
                <w:rFonts w:hint="eastAsia" w:cs="宋体" w:asciiTheme="minorEastAsia" w:hAnsiTheme="minorEastAsia" w:eastAsiaTheme="minorEastAsia"/>
                <w:b/>
                <w:bCs/>
                <w:color w:val="auto"/>
                <w:kern w:val="0"/>
                <w:sz w:val="21"/>
                <w:szCs w:val="21"/>
              </w:rPr>
              <w:t>终止日期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492" w:type="dxa"/>
            <w:tcBorders>
              <w:top w:val="single" w:color="auto" w:sz="4" w:space="0"/>
              <w:left w:val="single" w:color="auto" w:sz="4" w:space="0"/>
              <w:bottom w:val="single" w:color="auto" w:sz="4" w:space="0"/>
              <w:right w:val="single" w:color="auto" w:sz="4" w:space="0"/>
            </w:tcBorders>
            <w:noWrap/>
            <w:vAlign w:val="center"/>
          </w:tcPr>
          <w:p>
            <w:pPr>
              <w:widowControl/>
              <w:shd w:val="clear"/>
              <w:spacing w:line="0" w:lineRule="atLeas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eastAsiaTheme="minorEastAsia"/>
                <w:color w:val="auto"/>
                <w:kern w:val="0"/>
                <w:sz w:val="21"/>
                <w:szCs w:val="21"/>
                <w:lang w:eastAsia="zh-CN"/>
              </w:rPr>
              <w:t>六安颇美特建设机械有限公司</w:t>
            </w:r>
          </w:p>
        </w:tc>
        <w:tc>
          <w:tcPr>
            <w:tcW w:w="1452" w:type="dxa"/>
            <w:tcBorders>
              <w:top w:val="single" w:color="auto" w:sz="4" w:space="0"/>
              <w:left w:val="single" w:color="auto" w:sz="4" w:space="0"/>
              <w:bottom w:val="single" w:color="auto" w:sz="4" w:space="0"/>
              <w:right w:val="single" w:color="auto" w:sz="4" w:space="0"/>
            </w:tcBorders>
            <w:noWrap/>
            <w:vAlign w:val="center"/>
          </w:tcPr>
          <w:p>
            <w:pPr>
              <w:widowControl/>
              <w:shd w:val="clear"/>
              <w:spacing w:line="0" w:lineRule="atLeas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eastAsiaTheme="minorEastAsia"/>
                <w:color w:val="auto"/>
                <w:kern w:val="0"/>
                <w:sz w:val="21"/>
                <w:szCs w:val="21"/>
                <w:lang w:eastAsia="zh-CN"/>
              </w:rPr>
              <w:t>六安开发区经六路东侧</w:t>
            </w:r>
          </w:p>
        </w:tc>
        <w:tc>
          <w:tcPr>
            <w:tcW w:w="1836" w:type="dxa"/>
            <w:tcBorders>
              <w:top w:val="single" w:color="auto" w:sz="4" w:space="0"/>
              <w:left w:val="single" w:color="auto" w:sz="4" w:space="0"/>
              <w:bottom w:val="single" w:color="auto" w:sz="4" w:space="0"/>
              <w:right w:val="single" w:color="auto" w:sz="4" w:space="0"/>
            </w:tcBorders>
            <w:vAlign w:val="center"/>
          </w:tcPr>
          <w:p>
            <w:pPr>
              <w:widowControl/>
              <w:shd w:val="clear"/>
              <w:spacing w:line="0" w:lineRule="atLeas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eastAsiaTheme="minorEastAsia"/>
                <w:color w:val="auto"/>
                <w:kern w:val="0"/>
                <w:sz w:val="21"/>
                <w:szCs w:val="21"/>
                <w:lang w:eastAsia="zh-CN"/>
              </w:rPr>
              <w:t>六土国用（2007）第9001号</w:t>
            </w:r>
          </w:p>
        </w:tc>
        <w:tc>
          <w:tcPr>
            <w:tcW w:w="1157" w:type="dxa"/>
            <w:tcBorders>
              <w:top w:val="single" w:color="auto" w:sz="4" w:space="0"/>
              <w:left w:val="single" w:color="auto" w:sz="4" w:space="0"/>
              <w:bottom w:val="single" w:color="auto" w:sz="4" w:space="0"/>
              <w:right w:val="single" w:color="auto" w:sz="4" w:space="0"/>
            </w:tcBorders>
            <w:vAlign w:val="center"/>
          </w:tcPr>
          <w:p>
            <w:pPr>
              <w:widowControl/>
              <w:shd w:val="clear"/>
              <w:spacing w:line="0" w:lineRule="atLeast"/>
              <w:jc w:val="center"/>
              <w:rPr>
                <w:rFonts w:hint="default" w:cs="宋体" w:asciiTheme="minorEastAsia" w:hAnsiTheme="minorEastAsia" w:eastAsiaTheme="minorEastAsia"/>
                <w:color w:val="auto"/>
                <w:kern w:val="0"/>
                <w:sz w:val="21"/>
                <w:szCs w:val="21"/>
                <w:lang w:val="en-US" w:eastAsia="zh-CN"/>
              </w:rPr>
            </w:pPr>
            <w:r>
              <w:rPr>
                <w:rFonts w:hint="eastAsia" w:cs="宋体" w:asciiTheme="minorEastAsia" w:hAnsiTheme="minorEastAsia" w:eastAsiaTheme="minorEastAsia"/>
                <w:color w:val="auto"/>
                <w:kern w:val="0"/>
                <w:sz w:val="21"/>
                <w:szCs w:val="21"/>
                <w:lang w:val="en-US" w:eastAsia="zh-CN"/>
              </w:rPr>
              <w:t>14828.37</w:t>
            </w:r>
          </w:p>
        </w:tc>
        <w:tc>
          <w:tcPr>
            <w:tcW w:w="1083" w:type="dxa"/>
            <w:tcBorders>
              <w:top w:val="single" w:color="auto" w:sz="4" w:space="0"/>
              <w:left w:val="single" w:color="auto" w:sz="4" w:space="0"/>
              <w:bottom w:val="single" w:color="auto" w:sz="4" w:space="0"/>
              <w:right w:val="single" w:color="auto" w:sz="4" w:space="0"/>
            </w:tcBorders>
            <w:noWrap/>
            <w:vAlign w:val="center"/>
          </w:tcPr>
          <w:p>
            <w:pPr>
              <w:widowControl/>
              <w:shd w:val="clear"/>
              <w:spacing w:line="0" w:lineRule="atLeas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eastAsiaTheme="minorEastAsia"/>
                <w:color w:val="auto"/>
                <w:kern w:val="0"/>
                <w:sz w:val="21"/>
                <w:szCs w:val="21"/>
              </w:rPr>
              <w:t>工业</w:t>
            </w:r>
            <w:r>
              <w:rPr>
                <w:rFonts w:hint="eastAsia" w:cs="宋体" w:asciiTheme="minorEastAsia" w:hAnsiTheme="minorEastAsia" w:eastAsiaTheme="minorEastAsia"/>
                <w:color w:val="auto"/>
                <w:kern w:val="0"/>
                <w:sz w:val="21"/>
                <w:szCs w:val="21"/>
                <w:lang w:eastAsia="zh-CN"/>
              </w:rPr>
              <w:t>用地</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shd w:val="clear"/>
              <w:spacing w:line="0" w:lineRule="atLeast"/>
              <w:jc w:val="center"/>
              <w:rPr>
                <w:rFonts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出让</w:t>
            </w:r>
          </w:p>
        </w:tc>
        <w:tc>
          <w:tcPr>
            <w:tcW w:w="1591" w:type="dxa"/>
            <w:tcBorders>
              <w:top w:val="single" w:color="auto" w:sz="4" w:space="0"/>
              <w:left w:val="single" w:color="auto" w:sz="4" w:space="0"/>
              <w:bottom w:val="single" w:color="auto" w:sz="4" w:space="0"/>
              <w:right w:val="single" w:color="auto" w:sz="4" w:space="0"/>
            </w:tcBorders>
            <w:vAlign w:val="center"/>
          </w:tcPr>
          <w:p>
            <w:pPr>
              <w:widowControl/>
              <w:shd w:val="clear"/>
              <w:spacing w:line="0" w:lineRule="atLeas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eastAsiaTheme="minorEastAsia"/>
                <w:color w:val="auto"/>
                <w:kern w:val="0"/>
                <w:sz w:val="21"/>
                <w:szCs w:val="21"/>
                <w:lang w:eastAsia="zh-CN"/>
              </w:rPr>
              <w:t>2056年07月03日</w:t>
            </w:r>
          </w:p>
        </w:tc>
      </w:tr>
    </w:tbl>
    <w:p>
      <w:pPr>
        <w:shd w:val="clear"/>
        <w:tabs>
          <w:tab w:val="left" w:pos="2449"/>
          <w:tab w:val="center" w:pos="4534"/>
        </w:tabs>
        <w:spacing w:line="480" w:lineRule="exact"/>
        <w:ind w:firstLine="360" w:firstLineChars="150"/>
        <w:jc w:val="center"/>
        <w:rPr>
          <w:rFonts w:hint="eastAsia" w:asciiTheme="minorEastAsia" w:hAnsiTheme="minorEastAsia" w:eastAsiaTheme="minorEastAsia"/>
          <w:color w:val="auto"/>
          <w:spacing w:val="0"/>
          <w:szCs w:val="22"/>
        </w:rPr>
      </w:pPr>
      <w:r>
        <w:rPr>
          <w:rFonts w:hint="eastAsia" w:asciiTheme="minorEastAsia" w:hAnsiTheme="minorEastAsia" w:eastAsiaTheme="minorEastAsia"/>
          <w:color w:val="auto"/>
          <w:spacing w:val="0"/>
          <w:szCs w:val="22"/>
        </w:rPr>
        <w:t>估价对象</w:t>
      </w:r>
      <w:r>
        <w:rPr>
          <w:rFonts w:hint="eastAsia" w:asciiTheme="minorEastAsia" w:hAnsiTheme="minorEastAsia" w:eastAsiaTheme="minorEastAsia"/>
          <w:color w:val="auto"/>
          <w:spacing w:val="0"/>
          <w:szCs w:val="22"/>
          <w:lang w:eastAsia="zh-CN"/>
        </w:rPr>
        <w:t>已办理产权登记的</w:t>
      </w:r>
      <w:r>
        <w:rPr>
          <w:rFonts w:hint="eastAsia" w:asciiTheme="minorEastAsia" w:hAnsiTheme="minorEastAsia" w:eastAsiaTheme="minorEastAsia"/>
          <w:color w:val="auto"/>
          <w:spacing w:val="0"/>
          <w:szCs w:val="22"/>
        </w:rPr>
        <w:t>工业用房一览表</w:t>
      </w:r>
    </w:p>
    <w:tbl>
      <w:tblPr>
        <w:tblStyle w:val="18"/>
        <w:tblW w:w="9636" w:type="dxa"/>
        <w:jc w:val="center"/>
        <w:tblLayout w:type="fixed"/>
        <w:tblCellMar>
          <w:top w:w="0" w:type="dxa"/>
          <w:left w:w="0" w:type="dxa"/>
          <w:bottom w:w="0" w:type="dxa"/>
          <w:right w:w="0" w:type="dxa"/>
        </w:tblCellMar>
      </w:tblPr>
      <w:tblGrid>
        <w:gridCol w:w="1540"/>
        <w:gridCol w:w="1105"/>
        <w:gridCol w:w="1129"/>
        <w:gridCol w:w="969"/>
        <w:gridCol w:w="914"/>
        <w:gridCol w:w="861"/>
        <w:gridCol w:w="1129"/>
        <w:gridCol w:w="1989"/>
      </w:tblGrid>
      <w:tr>
        <w:tblPrEx>
          <w:tblCellMar>
            <w:top w:w="0" w:type="dxa"/>
            <w:left w:w="0" w:type="dxa"/>
            <w:bottom w:w="0" w:type="dxa"/>
            <w:right w:w="0" w:type="dxa"/>
          </w:tblCellMar>
        </w:tblPrEx>
        <w:trPr>
          <w:trHeight w:val="469" w:hRule="atLeast"/>
          <w:jc w:val="center"/>
        </w:trPr>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b/>
                <w:bCs/>
                <w:color w:val="auto"/>
                <w:sz w:val="21"/>
                <w:szCs w:val="21"/>
                <w:lang w:eastAsia="zh-CN"/>
              </w:rPr>
            </w:pPr>
            <w:r>
              <w:rPr>
                <w:rFonts w:hint="eastAsia" w:cs="宋体" w:asciiTheme="minorEastAsia" w:hAnsiTheme="minorEastAsia" w:eastAsiaTheme="minorEastAsia"/>
                <w:b/>
                <w:bCs/>
                <w:color w:val="auto"/>
                <w:kern w:val="0"/>
                <w:sz w:val="21"/>
                <w:szCs w:val="21"/>
                <w:lang w:eastAsia="zh-CN"/>
              </w:rPr>
              <w:t>房地产权利人</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名称</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ascii="宋体" w:hAnsi="宋体" w:cs="宋体" w:eastAsiaTheme="minorEastAsia"/>
                <w:b/>
                <w:bCs/>
                <w:color w:val="auto"/>
                <w:kern w:val="0"/>
                <w:sz w:val="21"/>
                <w:szCs w:val="21"/>
                <w:lang w:eastAsia="zh-CN"/>
              </w:rPr>
              <w:t>房地产权证号</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面积（m</w:t>
            </w:r>
            <w:r>
              <w:rPr>
                <w:rStyle w:val="50"/>
                <w:rFonts w:hint="default" w:asciiTheme="minorEastAsia" w:hAnsiTheme="minorEastAsia" w:eastAsiaTheme="minorEastAsia"/>
                <w:b/>
                <w:bCs/>
                <w:color w:val="auto"/>
                <w:sz w:val="21"/>
                <w:szCs w:val="21"/>
              </w:rPr>
              <w:t>2</w:t>
            </w:r>
            <w:r>
              <w:rPr>
                <w:rStyle w:val="51"/>
                <w:rFonts w:hint="default" w:asciiTheme="minorEastAsia" w:hAnsiTheme="minorEastAsia" w:eastAsiaTheme="minorEastAsia"/>
                <w:b/>
                <w:bCs/>
                <w:color w:val="auto"/>
                <w:sz w:val="21"/>
                <w:szCs w:val="21"/>
              </w:rPr>
              <w:t>）</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结构</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层数</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lang w:eastAsia="zh-CN"/>
              </w:rPr>
              <w:t>设计</w:t>
            </w:r>
            <w:r>
              <w:rPr>
                <w:rFonts w:hint="eastAsia" w:cs="宋体" w:asciiTheme="minorEastAsia" w:hAnsiTheme="minorEastAsia" w:eastAsiaTheme="minorEastAsia"/>
                <w:b/>
                <w:bCs/>
                <w:color w:val="auto"/>
                <w:kern w:val="0"/>
                <w:sz w:val="21"/>
                <w:szCs w:val="21"/>
              </w:rPr>
              <w:t>用途</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b/>
                <w:bCs/>
                <w:color w:val="auto"/>
                <w:kern w:val="0"/>
                <w:sz w:val="21"/>
                <w:szCs w:val="21"/>
                <w:lang w:eastAsia="zh-CN"/>
              </w:rPr>
            </w:pPr>
            <w:r>
              <w:rPr>
                <w:rFonts w:hint="eastAsia" w:cs="宋体" w:asciiTheme="minorEastAsia" w:hAnsiTheme="minorEastAsia" w:eastAsiaTheme="minorEastAsia"/>
                <w:b/>
                <w:bCs/>
                <w:color w:val="auto"/>
                <w:kern w:val="0"/>
                <w:sz w:val="21"/>
                <w:szCs w:val="21"/>
              </w:rPr>
              <w:t>建成年代</w:t>
            </w:r>
          </w:p>
        </w:tc>
      </w:tr>
      <w:tr>
        <w:tblPrEx>
          <w:tblCellMar>
            <w:top w:w="0" w:type="dxa"/>
            <w:left w:w="0" w:type="dxa"/>
            <w:bottom w:w="0" w:type="dxa"/>
            <w:right w:w="0" w:type="dxa"/>
          </w:tblCellMar>
        </w:tblPrEx>
        <w:trPr>
          <w:trHeight w:val="1377" w:hRule="atLeast"/>
          <w:jc w:val="center"/>
        </w:trPr>
        <w:tc>
          <w:tcPr>
            <w:tcW w:w="154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eastAsia="zh-CN"/>
              </w:rPr>
            </w:pPr>
            <w:r>
              <w:rPr>
                <w:rFonts w:hint="eastAsia" w:cs="宋体" w:asciiTheme="minorEastAsia" w:hAnsiTheme="minorEastAsia" w:eastAsiaTheme="minorEastAsia"/>
                <w:color w:val="auto"/>
                <w:kern w:val="0"/>
                <w:sz w:val="21"/>
                <w:szCs w:val="21"/>
                <w:lang w:eastAsia="zh-CN"/>
              </w:rPr>
              <w:t>六安颇美特建设机械有限公司</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eastAsia="zh-CN"/>
              </w:rPr>
              <w:t>房地权乡镇字第</w:t>
            </w:r>
            <w:r>
              <w:rPr>
                <w:rFonts w:hint="eastAsia" w:cs="宋体" w:asciiTheme="minorEastAsia" w:hAnsiTheme="minorEastAsia" w:eastAsiaTheme="minorEastAsia"/>
                <w:color w:val="auto"/>
                <w:sz w:val="21"/>
                <w:szCs w:val="21"/>
                <w:lang w:val="en-US" w:eastAsia="zh-CN"/>
              </w:rPr>
              <w:t>456786号</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4010.50</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eastAsia="zh-CN"/>
              </w:rPr>
            </w:pPr>
            <w:r>
              <w:rPr>
                <w:rFonts w:hint="eastAsia" w:cs="宋体" w:asciiTheme="minorEastAsia" w:hAnsiTheme="minorEastAsia" w:eastAsiaTheme="minorEastAsia"/>
                <w:color w:val="auto"/>
                <w:kern w:val="0"/>
                <w:sz w:val="21"/>
                <w:szCs w:val="21"/>
                <w:lang w:eastAsia="zh-CN"/>
              </w:rPr>
              <w:t>钢混</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kern w:val="0"/>
                <w:sz w:val="21"/>
                <w:szCs w:val="21"/>
              </w:rPr>
              <w:t>1</w:t>
            </w:r>
            <w:r>
              <w:rPr>
                <w:rFonts w:hint="eastAsia" w:cs="宋体" w:asciiTheme="minorEastAsia" w:hAnsiTheme="minorEastAsia" w:eastAsiaTheme="minorEastAsia"/>
                <w:color w:val="auto"/>
                <w:kern w:val="0"/>
                <w:sz w:val="21"/>
                <w:szCs w:val="21"/>
                <w:lang w:val="en-US" w:eastAsia="zh-CN"/>
              </w:rPr>
              <w:t>-5</w:t>
            </w:r>
            <w:r>
              <w:rPr>
                <w:rFonts w:hint="eastAsia" w:cs="宋体" w:asciiTheme="minorEastAsia" w:hAnsiTheme="minorEastAsia" w:eastAsiaTheme="minorEastAsia"/>
                <w:color w:val="auto"/>
                <w:kern w:val="0"/>
                <w:sz w:val="21"/>
                <w:szCs w:val="21"/>
              </w:rPr>
              <w:t>/</w:t>
            </w:r>
            <w:r>
              <w:rPr>
                <w:rFonts w:hint="eastAsia" w:cs="宋体" w:asciiTheme="minorEastAsia" w:hAnsiTheme="minorEastAsia" w:eastAsiaTheme="minorEastAsia"/>
                <w:color w:val="auto"/>
                <w:kern w:val="0"/>
                <w:sz w:val="21"/>
                <w:szCs w:val="21"/>
                <w:lang w:val="en-US" w:eastAsia="zh-CN"/>
              </w:rPr>
              <w:t>5</w:t>
            </w:r>
            <w:r>
              <w:rPr>
                <w:rFonts w:hint="eastAsia" w:cs="宋体" w:asciiTheme="minorEastAsia" w:hAnsiTheme="minorEastAsia" w:eastAsiaTheme="minorEastAsia"/>
                <w:color w:val="auto"/>
                <w:kern w:val="0"/>
                <w:sz w:val="21"/>
                <w:szCs w:val="21"/>
              </w:rPr>
              <w:t>F</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kern w:val="0"/>
                <w:sz w:val="21"/>
                <w:szCs w:val="21"/>
              </w:rPr>
              <w:t>工业</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default" w:eastAsia="宋体" w:cs="宋体" w:asciiTheme="minorEastAsia" w:hAnsiTheme="minorEastAsia"/>
                <w:color w:val="auto"/>
                <w:kern w:val="0"/>
                <w:sz w:val="21"/>
                <w:szCs w:val="21"/>
                <w:lang w:val="en-US" w:eastAsia="zh-CN"/>
              </w:rPr>
            </w:pPr>
            <w:r>
              <w:rPr>
                <w:rFonts w:hint="eastAsia" w:cs="宋体" w:asciiTheme="minorEastAsia" w:hAnsiTheme="minorEastAsia" w:eastAsiaTheme="minorEastAsia"/>
                <w:color w:val="auto"/>
                <w:kern w:val="0"/>
                <w:sz w:val="21"/>
                <w:szCs w:val="21"/>
                <w:lang w:val="en-US" w:eastAsia="zh-CN"/>
              </w:rPr>
              <w:t>2008年</w:t>
            </w:r>
          </w:p>
        </w:tc>
      </w:tr>
      <w:tr>
        <w:tblPrEx>
          <w:tblCellMar>
            <w:top w:w="0" w:type="dxa"/>
            <w:left w:w="0" w:type="dxa"/>
            <w:bottom w:w="0" w:type="dxa"/>
            <w:right w:w="0" w:type="dxa"/>
          </w:tblCellMar>
        </w:tblPrEx>
        <w:trPr>
          <w:trHeight w:val="1377" w:hRule="atLeast"/>
          <w:jc w:val="center"/>
        </w:trPr>
        <w:tc>
          <w:tcPr>
            <w:tcW w:w="154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lang w:val="en-US" w:eastAsia="zh-CN"/>
              </w:rPr>
              <w:t>2#</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lang w:eastAsia="zh-CN"/>
              </w:rPr>
              <w:t>房地权乡镇字第</w:t>
            </w:r>
            <w:r>
              <w:rPr>
                <w:rFonts w:hint="eastAsia" w:cs="宋体" w:asciiTheme="minorEastAsia" w:hAnsiTheme="minorEastAsia" w:eastAsiaTheme="minorEastAsia"/>
                <w:color w:val="auto"/>
                <w:sz w:val="21"/>
                <w:szCs w:val="21"/>
                <w:lang w:val="en-US" w:eastAsia="zh-CN"/>
              </w:rPr>
              <w:t>456787号</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684.51</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kern w:val="0"/>
                <w:sz w:val="21"/>
                <w:szCs w:val="21"/>
                <w:lang w:eastAsia="zh-CN"/>
              </w:rPr>
              <w:t>钢混</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kern w:val="0"/>
                <w:sz w:val="21"/>
                <w:szCs w:val="21"/>
              </w:rPr>
              <w:t>1</w:t>
            </w:r>
            <w:r>
              <w:rPr>
                <w:rFonts w:hint="eastAsia" w:cs="宋体" w:asciiTheme="minorEastAsia" w:hAnsiTheme="minorEastAsia" w:eastAsiaTheme="minorEastAsia"/>
                <w:color w:val="auto"/>
                <w:kern w:val="0"/>
                <w:sz w:val="21"/>
                <w:szCs w:val="21"/>
                <w:lang w:val="en-US" w:eastAsia="zh-CN"/>
              </w:rPr>
              <w:t>-2</w:t>
            </w:r>
            <w:r>
              <w:rPr>
                <w:rFonts w:hint="eastAsia" w:cs="宋体" w:asciiTheme="minorEastAsia" w:hAnsiTheme="minorEastAsia" w:eastAsiaTheme="minorEastAsia"/>
                <w:color w:val="auto"/>
                <w:kern w:val="0"/>
                <w:sz w:val="21"/>
                <w:szCs w:val="21"/>
              </w:rPr>
              <w:t>/</w:t>
            </w:r>
            <w:r>
              <w:rPr>
                <w:rFonts w:hint="eastAsia" w:cs="宋体" w:asciiTheme="minorEastAsia" w:hAnsiTheme="minorEastAsia" w:eastAsiaTheme="minorEastAsia"/>
                <w:color w:val="auto"/>
                <w:kern w:val="0"/>
                <w:sz w:val="21"/>
                <w:szCs w:val="21"/>
                <w:lang w:val="en-US" w:eastAsia="zh-CN"/>
              </w:rPr>
              <w:t>2</w:t>
            </w:r>
            <w:r>
              <w:rPr>
                <w:rFonts w:hint="eastAsia" w:cs="宋体" w:asciiTheme="minorEastAsia" w:hAnsiTheme="minorEastAsia" w:eastAsiaTheme="minorEastAsia"/>
                <w:color w:val="auto"/>
                <w:kern w:val="0"/>
                <w:sz w:val="21"/>
                <w:szCs w:val="21"/>
              </w:rPr>
              <w:t>F</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kern w:val="0"/>
                <w:sz w:val="21"/>
                <w:szCs w:val="21"/>
              </w:rPr>
              <w:t>工业</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default" w:cs="宋体" w:asciiTheme="minorEastAsia" w:hAnsiTheme="minorEastAsia" w:eastAsiaTheme="minorEastAsia"/>
                <w:color w:val="auto"/>
                <w:kern w:val="0"/>
                <w:sz w:val="21"/>
                <w:szCs w:val="21"/>
                <w:lang w:val="en-US" w:eastAsia="zh-CN"/>
              </w:rPr>
            </w:pPr>
            <w:r>
              <w:rPr>
                <w:rFonts w:hint="eastAsia" w:cs="宋体" w:asciiTheme="minorEastAsia" w:hAnsiTheme="minorEastAsia" w:eastAsiaTheme="minorEastAsia"/>
                <w:color w:val="auto"/>
                <w:kern w:val="0"/>
                <w:sz w:val="21"/>
                <w:szCs w:val="21"/>
                <w:lang w:val="en-US" w:eastAsia="zh-CN"/>
              </w:rPr>
              <w:t>2008年</w:t>
            </w:r>
          </w:p>
        </w:tc>
      </w:tr>
      <w:tr>
        <w:tblPrEx>
          <w:tblCellMar>
            <w:top w:w="0" w:type="dxa"/>
            <w:left w:w="0" w:type="dxa"/>
            <w:bottom w:w="0" w:type="dxa"/>
            <w:right w:w="0" w:type="dxa"/>
          </w:tblCellMar>
        </w:tblPrEx>
        <w:trPr>
          <w:trHeight w:val="1039" w:hRule="atLeast"/>
          <w:jc w:val="center"/>
        </w:trPr>
        <w:tc>
          <w:tcPr>
            <w:tcW w:w="154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lang w:val="en-US" w:eastAsia="zh-CN"/>
              </w:rPr>
              <w:t>3#</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lang w:eastAsia="zh-CN"/>
              </w:rPr>
              <w:t>房地权乡镇字第</w:t>
            </w:r>
            <w:r>
              <w:rPr>
                <w:rFonts w:hint="eastAsia" w:cs="宋体" w:asciiTheme="minorEastAsia" w:hAnsiTheme="minorEastAsia" w:eastAsiaTheme="minorEastAsia"/>
                <w:color w:val="auto"/>
                <w:sz w:val="21"/>
                <w:szCs w:val="21"/>
                <w:lang w:val="en-US" w:eastAsia="zh-CN"/>
              </w:rPr>
              <w:t>456788号</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1538.97</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kern w:val="0"/>
                <w:sz w:val="21"/>
                <w:szCs w:val="21"/>
                <w:lang w:eastAsia="zh-CN"/>
              </w:rPr>
              <w:t>钢混</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kern w:val="0"/>
                <w:sz w:val="21"/>
                <w:szCs w:val="21"/>
              </w:rPr>
              <w:t>1</w:t>
            </w:r>
            <w:r>
              <w:rPr>
                <w:rFonts w:hint="eastAsia" w:cs="宋体" w:asciiTheme="minorEastAsia" w:hAnsiTheme="minorEastAsia" w:eastAsiaTheme="minorEastAsia"/>
                <w:color w:val="auto"/>
                <w:kern w:val="0"/>
                <w:sz w:val="21"/>
                <w:szCs w:val="21"/>
                <w:lang w:val="en-US" w:eastAsia="zh-CN"/>
              </w:rPr>
              <w:t>-2</w:t>
            </w:r>
            <w:r>
              <w:rPr>
                <w:rFonts w:hint="eastAsia" w:cs="宋体" w:asciiTheme="minorEastAsia" w:hAnsiTheme="minorEastAsia" w:eastAsiaTheme="minorEastAsia"/>
                <w:color w:val="auto"/>
                <w:kern w:val="0"/>
                <w:sz w:val="21"/>
                <w:szCs w:val="21"/>
              </w:rPr>
              <w:t>/</w:t>
            </w:r>
            <w:r>
              <w:rPr>
                <w:rFonts w:hint="eastAsia" w:cs="宋体" w:asciiTheme="minorEastAsia" w:hAnsiTheme="minorEastAsia" w:eastAsiaTheme="minorEastAsia"/>
                <w:color w:val="auto"/>
                <w:kern w:val="0"/>
                <w:sz w:val="21"/>
                <w:szCs w:val="21"/>
                <w:lang w:val="en-US" w:eastAsia="zh-CN"/>
              </w:rPr>
              <w:t>2</w:t>
            </w:r>
            <w:r>
              <w:rPr>
                <w:rFonts w:hint="eastAsia" w:cs="宋体" w:asciiTheme="minorEastAsia" w:hAnsiTheme="minorEastAsia" w:eastAsiaTheme="minorEastAsia"/>
                <w:color w:val="auto"/>
                <w:kern w:val="0"/>
                <w:sz w:val="21"/>
                <w:szCs w:val="21"/>
              </w:rPr>
              <w:t>F</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kern w:val="0"/>
                <w:sz w:val="21"/>
                <w:szCs w:val="21"/>
              </w:rPr>
              <w:t>工业</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default" w:cs="宋体" w:asciiTheme="minorEastAsia" w:hAnsiTheme="minorEastAsia" w:eastAsiaTheme="minorEastAsia"/>
                <w:color w:val="auto"/>
                <w:kern w:val="0"/>
                <w:sz w:val="21"/>
                <w:szCs w:val="21"/>
                <w:lang w:val="en-US" w:eastAsia="zh-CN"/>
              </w:rPr>
            </w:pPr>
            <w:r>
              <w:rPr>
                <w:rFonts w:hint="eastAsia" w:cs="宋体" w:asciiTheme="minorEastAsia" w:hAnsiTheme="minorEastAsia" w:eastAsiaTheme="minorEastAsia"/>
                <w:color w:val="auto"/>
                <w:kern w:val="0"/>
                <w:sz w:val="21"/>
                <w:szCs w:val="21"/>
                <w:lang w:val="en-US" w:eastAsia="zh-CN"/>
              </w:rPr>
              <w:t>2008年</w:t>
            </w:r>
          </w:p>
        </w:tc>
      </w:tr>
      <w:tr>
        <w:tblPrEx>
          <w:tblCellMar>
            <w:top w:w="0" w:type="dxa"/>
            <w:left w:w="0" w:type="dxa"/>
            <w:bottom w:w="0" w:type="dxa"/>
            <w:right w:w="0" w:type="dxa"/>
          </w:tblCellMar>
        </w:tblPrEx>
        <w:trPr>
          <w:trHeight w:val="1039" w:hRule="atLeast"/>
          <w:jc w:val="center"/>
        </w:trPr>
        <w:tc>
          <w:tcPr>
            <w:tcW w:w="154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4#</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1E1C11"/>
                <w:spacing w:val="10"/>
                <w:kern w:val="0"/>
                <w:sz w:val="22"/>
                <w:szCs w:val="22"/>
                <w:u w:val="none"/>
                <w:lang w:val="en-US" w:eastAsia="zh-CN" w:bidi="ar"/>
              </w:rPr>
            </w:pPr>
            <w:r>
              <w:rPr>
                <w:rFonts w:hint="eastAsia" w:cs="宋体" w:asciiTheme="minorEastAsia" w:hAnsiTheme="minorEastAsia" w:eastAsiaTheme="minorEastAsia"/>
                <w:color w:val="auto"/>
                <w:sz w:val="21"/>
                <w:szCs w:val="21"/>
                <w:lang w:eastAsia="zh-CN"/>
              </w:rPr>
              <w:t>房地权乡镇字第</w:t>
            </w:r>
            <w:r>
              <w:rPr>
                <w:rFonts w:hint="eastAsia" w:cs="宋体" w:asciiTheme="minorEastAsia" w:hAnsiTheme="minorEastAsia" w:eastAsiaTheme="minorEastAsia"/>
                <w:color w:val="auto"/>
                <w:sz w:val="21"/>
                <w:szCs w:val="21"/>
                <w:lang w:val="en-US" w:eastAsia="zh-CN"/>
              </w:rPr>
              <w:t>456789号</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eastAsiaTheme="minorEastAsia"/>
                <w:color w:val="auto"/>
                <w:sz w:val="21"/>
                <w:szCs w:val="21"/>
                <w:lang w:val="en-US" w:eastAsia="zh-CN"/>
              </w:rPr>
              <w:t>1538.97</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lang w:eastAsia="zh-CN"/>
              </w:rPr>
              <w:t>钢混</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1</w:t>
            </w:r>
            <w:r>
              <w:rPr>
                <w:rFonts w:hint="eastAsia" w:cs="宋体" w:asciiTheme="minorEastAsia" w:hAnsiTheme="minorEastAsia" w:eastAsiaTheme="minorEastAsia"/>
                <w:color w:val="auto"/>
                <w:kern w:val="0"/>
                <w:sz w:val="21"/>
                <w:szCs w:val="21"/>
                <w:lang w:val="en-US" w:eastAsia="zh-CN"/>
              </w:rPr>
              <w:t>-2</w:t>
            </w:r>
            <w:r>
              <w:rPr>
                <w:rFonts w:hint="eastAsia" w:cs="宋体" w:asciiTheme="minorEastAsia" w:hAnsiTheme="minorEastAsia" w:eastAsiaTheme="minorEastAsia"/>
                <w:color w:val="auto"/>
                <w:kern w:val="0"/>
                <w:sz w:val="21"/>
                <w:szCs w:val="21"/>
              </w:rPr>
              <w:t>/</w:t>
            </w:r>
            <w:r>
              <w:rPr>
                <w:rFonts w:hint="eastAsia" w:cs="宋体" w:asciiTheme="minorEastAsia" w:hAnsiTheme="minorEastAsia" w:eastAsiaTheme="minorEastAsia"/>
                <w:color w:val="auto"/>
                <w:kern w:val="0"/>
                <w:sz w:val="21"/>
                <w:szCs w:val="21"/>
                <w:lang w:val="en-US" w:eastAsia="zh-CN"/>
              </w:rPr>
              <w:t>2</w:t>
            </w:r>
            <w:r>
              <w:rPr>
                <w:rFonts w:hint="eastAsia" w:cs="宋体" w:asciiTheme="minorEastAsia" w:hAnsiTheme="minorEastAsia" w:eastAsiaTheme="minorEastAsia"/>
                <w:color w:val="auto"/>
                <w:kern w:val="0"/>
                <w:sz w:val="21"/>
                <w:szCs w:val="21"/>
              </w:rPr>
              <w:t>F</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color w:val="auto"/>
                <w:kern w:val="0"/>
                <w:sz w:val="21"/>
                <w:szCs w:val="21"/>
                <w:lang w:val="en-US" w:eastAsia="zh-CN"/>
              </w:rPr>
            </w:pPr>
            <w:r>
              <w:rPr>
                <w:rFonts w:hint="eastAsia" w:cs="宋体" w:asciiTheme="minorEastAsia" w:hAnsiTheme="minorEastAsia" w:eastAsiaTheme="minorEastAsia"/>
                <w:color w:val="auto"/>
                <w:kern w:val="0"/>
                <w:sz w:val="21"/>
                <w:szCs w:val="21"/>
              </w:rPr>
              <w:t>工业</w:t>
            </w: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340" w:lineRule="exact"/>
              <w:jc w:val="center"/>
              <w:textAlignment w:val="center"/>
              <w:rPr>
                <w:rFonts w:hint="eastAsia" w:ascii="宋体" w:hAnsi="宋体" w:cs="宋体" w:eastAsiaTheme="minorEastAsia"/>
                <w:color w:val="auto"/>
                <w:kern w:val="0"/>
                <w:sz w:val="21"/>
                <w:szCs w:val="21"/>
                <w:lang w:eastAsia="zh-CN"/>
              </w:rPr>
            </w:pPr>
            <w:r>
              <w:rPr>
                <w:rFonts w:hint="eastAsia" w:cs="宋体" w:asciiTheme="minorEastAsia" w:hAnsiTheme="minorEastAsia" w:eastAsiaTheme="minorEastAsia"/>
                <w:color w:val="auto"/>
                <w:kern w:val="0"/>
                <w:sz w:val="21"/>
                <w:szCs w:val="21"/>
                <w:lang w:val="en-US" w:eastAsia="zh-CN"/>
              </w:rPr>
              <w:t>2008年</w:t>
            </w:r>
          </w:p>
        </w:tc>
      </w:tr>
      <w:tr>
        <w:tblPrEx>
          <w:tblCellMar>
            <w:top w:w="0" w:type="dxa"/>
            <w:left w:w="0" w:type="dxa"/>
            <w:bottom w:w="0" w:type="dxa"/>
            <w:right w:w="0" w:type="dxa"/>
          </w:tblCellMar>
        </w:tblPrEx>
        <w:trPr>
          <w:trHeight w:val="499" w:hRule="atLeast"/>
          <w:jc w:val="center"/>
        </w:trPr>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kern w:val="0"/>
                <w:sz w:val="21"/>
                <w:szCs w:val="21"/>
              </w:rPr>
              <w:t>合计</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spacing w:line="400" w:lineRule="exact"/>
              <w:jc w:val="center"/>
              <w:rPr>
                <w:rFonts w:cs="宋体" w:asciiTheme="minorEastAsia" w:hAnsiTheme="minorEastAsia" w:eastAsiaTheme="minorEastAsia"/>
                <w:color w:val="auto"/>
                <w:sz w:val="21"/>
                <w:szCs w:val="21"/>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eastAsia="zh-CN"/>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spacing w:line="400" w:lineRule="exact"/>
              <w:jc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7772.95</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spacing w:line="400" w:lineRule="exact"/>
              <w:jc w:val="center"/>
              <w:rPr>
                <w:rFonts w:cs="宋体" w:asciiTheme="minorEastAsia" w:hAnsiTheme="minorEastAsia" w:eastAsiaTheme="minorEastAsia"/>
                <w:color w:val="auto"/>
                <w:sz w:val="21"/>
                <w:szCs w:val="21"/>
              </w:rPr>
            </w:pP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spacing w:line="400" w:lineRule="exact"/>
              <w:jc w:val="center"/>
              <w:rPr>
                <w:rFonts w:cs="宋体" w:asciiTheme="minorEastAsia" w:hAnsiTheme="minorEastAsia" w:eastAsiaTheme="minorEastAsia"/>
                <w:color w:val="auto"/>
                <w:sz w:val="21"/>
                <w:szCs w:val="21"/>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spacing w:line="400" w:lineRule="exact"/>
              <w:jc w:val="center"/>
              <w:rPr>
                <w:rFonts w:cs="宋体" w:asciiTheme="minorEastAsia" w:hAnsiTheme="minorEastAsia" w:eastAsiaTheme="minorEastAsia"/>
                <w:color w:val="auto"/>
                <w:sz w:val="21"/>
                <w:szCs w:val="21"/>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spacing w:line="340" w:lineRule="exact"/>
              <w:jc w:val="center"/>
              <w:rPr>
                <w:rFonts w:cs="宋体" w:asciiTheme="minorEastAsia" w:hAnsiTheme="minorEastAsia" w:eastAsiaTheme="minorEastAsia"/>
                <w:color w:val="auto"/>
                <w:sz w:val="21"/>
                <w:szCs w:val="21"/>
              </w:rPr>
            </w:pPr>
          </w:p>
        </w:tc>
      </w:tr>
    </w:tbl>
    <w:p>
      <w:pPr>
        <w:shd w:val="clear"/>
        <w:tabs>
          <w:tab w:val="left" w:pos="2449"/>
          <w:tab w:val="center" w:pos="4534"/>
        </w:tabs>
        <w:spacing w:line="480" w:lineRule="exact"/>
        <w:ind w:firstLine="360" w:firstLineChars="150"/>
        <w:jc w:val="center"/>
        <w:rPr>
          <w:rFonts w:hint="eastAsia" w:asciiTheme="minorEastAsia" w:hAnsiTheme="minorEastAsia" w:eastAsiaTheme="minorEastAsia"/>
          <w:color w:val="auto"/>
          <w:spacing w:val="0"/>
          <w:szCs w:val="22"/>
        </w:rPr>
      </w:pPr>
      <w:r>
        <w:rPr>
          <w:rFonts w:hint="eastAsia" w:asciiTheme="minorEastAsia" w:hAnsiTheme="minorEastAsia" w:eastAsiaTheme="minorEastAsia"/>
          <w:color w:val="auto"/>
          <w:spacing w:val="0"/>
          <w:szCs w:val="22"/>
        </w:rPr>
        <w:t>估价对象</w:t>
      </w:r>
      <w:r>
        <w:rPr>
          <w:rFonts w:hint="eastAsia" w:asciiTheme="minorEastAsia" w:hAnsiTheme="minorEastAsia" w:eastAsiaTheme="minorEastAsia"/>
          <w:color w:val="auto"/>
          <w:spacing w:val="0"/>
          <w:szCs w:val="22"/>
          <w:lang w:eastAsia="zh-CN"/>
        </w:rPr>
        <w:t>未办理产权登记的</w:t>
      </w:r>
      <w:r>
        <w:rPr>
          <w:rFonts w:hint="eastAsia" w:asciiTheme="minorEastAsia" w:hAnsiTheme="minorEastAsia" w:eastAsiaTheme="minorEastAsia"/>
          <w:color w:val="auto"/>
          <w:spacing w:val="0"/>
          <w:szCs w:val="22"/>
        </w:rPr>
        <w:t>工业</w:t>
      </w:r>
      <w:r>
        <w:rPr>
          <w:rFonts w:hint="eastAsia" w:asciiTheme="minorEastAsia" w:hAnsiTheme="minorEastAsia" w:eastAsiaTheme="minorEastAsia"/>
          <w:color w:val="auto"/>
          <w:spacing w:val="0"/>
          <w:szCs w:val="22"/>
          <w:lang w:eastAsia="zh-CN"/>
        </w:rPr>
        <w:t>厂房</w:t>
      </w:r>
      <w:r>
        <w:rPr>
          <w:rFonts w:hint="eastAsia" w:asciiTheme="minorEastAsia" w:hAnsiTheme="minorEastAsia" w:eastAsiaTheme="minorEastAsia"/>
          <w:color w:val="auto"/>
          <w:spacing w:val="0"/>
          <w:szCs w:val="22"/>
        </w:rPr>
        <w:t>一览表</w:t>
      </w:r>
    </w:p>
    <w:tbl>
      <w:tblPr>
        <w:tblStyle w:val="18"/>
        <w:tblW w:w="9710" w:type="dxa"/>
        <w:jc w:val="center"/>
        <w:tblLayout w:type="fixed"/>
        <w:tblCellMar>
          <w:top w:w="0" w:type="dxa"/>
          <w:left w:w="0" w:type="dxa"/>
          <w:bottom w:w="0" w:type="dxa"/>
          <w:right w:w="0" w:type="dxa"/>
        </w:tblCellMar>
      </w:tblPr>
      <w:tblGrid>
        <w:gridCol w:w="1217"/>
        <w:gridCol w:w="1499"/>
        <w:gridCol w:w="550"/>
        <w:gridCol w:w="686"/>
        <w:gridCol w:w="1031"/>
        <w:gridCol w:w="239"/>
        <w:gridCol w:w="961"/>
        <w:gridCol w:w="237"/>
        <w:gridCol w:w="713"/>
        <w:gridCol w:w="415"/>
        <w:gridCol w:w="2162"/>
      </w:tblGrid>
      <w:tr>
        <w:tblPrEx>
          <w:tblCellMar>
            <w:top w:w="0" w:type="dxa"/>
            <w:left w:w="0" w:type="dxa"/>
            <w:bottom w:w="0" w:type="dxa"/>
            <w:right w:w="0" w:type="dxa"/>
          </w:tblCellMar>
        </w:tblPrEx>
        <w:trPr>
          <w:trHeight w:val="574" w:hRule="atLeast"/>
          <w:jc w:val="center"/>
        </w:trPr>
        <w:tc>
          <w:tcPr>
            <w:tcW w:w="27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b/>
                <w:bCs/>
                <w:color w:val="auto"/>
                <w:sz w:val="21"/>
                <w:szCs w:val="21"/>
                <w:lang w:eastAsia="zh-CN"/>
              </w:rPr>
            </w:pPr>
            <w:r>
              <w:rPr>
                <w:rFonts w:hint="eastAsia" w:cs="宋体" w:asciiTheme="minorEastAsia" w:hAnsiTheme="minorEastAsia" w:eastAsiaTheme="minorEastAsia"/>
                <w:b/>
                <w:bCs/>
                <w:color w:val="auto"/>
                <w:kern w:val="0"/>
                <w:sz w:val="21"/>
                <w:szCs w:val="21"/>
                <w:lang w:eastAsia="zh-CN"/>
              </w:rPr>
              <w:t>资产占有人</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名称</w:t>
            </w:r>
          </w:p>
        </w:tc>
        <w:tc>
          <w:tcPr>
            <w:tcW w:w="12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面积（m</w:t>
            </w:r>
            <w:r>
              <w:rPr>
                <w:rStyle w:val="50"/>
                <w:rFonts w:hint="default" w:asciiTheme="minorEastAsia" w:hAnsiTheme="minorEastAsia" w:eastAsiaTheme="minorEastAsia"/>
                <w:b/>
                <w:bCs/>
                <w:color w:val="auto"/>
                <w:sz w:val="21"/>
                <w:szCs w:val="21"/>
              </w:rPr>
              <w:t>2</w:t>
            </w:r>
            <w:r>
              <w:rPr>
                <w:rStyle w:val="51"/>
                <w:rFonts w:hint="default" w:asciiTheme="minorEastAsia" w:hAnsiTheme="minorEastAsia" w:eastAsiaTheme="minorEastAsia"/>
                <w:b/>
                <w:bCs/>
                <w:color w:val="auto"/>
                <w:sz w:val="21"/>
                <w:szCs w:val="21"/>
              </w:rPr>
              <w:t>）</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结构</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层数</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b/>
                <w:bCs/>
                <w:color w:val="auto"/>
                <w:kern w:val="0"/>
                <w:sz w:val="21"/>
                <w:szCs w:val="21"/>
                <w:lang w:eastAsia="zh-CN"/>
              </w:rPr>
            </w:pPr>
            <w:r>
              <w:rPr>
                <w:rFonts w:hint="eastAsia" w:cs="宋体" w:asciiTheme="minorEastAsia" w:hAnsiTheme="minorEastAsia" w:eastAsiaTheme="minorEastAsia"/>
                <w:b/>
                <w:bCs/>
                <w:color w:val="auto"/>
                <w:kern w:val="0"/>
                <w:sz w:val="21"/>
                <w:szCs w:val="21"/>
              </w:rPr>
              <w:t>建成年代</w:t>
            </w:r>
          </w:p>
        </w:tc>
      </w:tr>
      <w:tr>
        <w:tblPrEx>
          <w:tblCellMar>
            <w:top w:w="0" w:type="dxa"/>
            <w:left w:w="0" w:type="dxa"/>
            <w:bottom w:w="0" w:type="dxa"/>
            <w:right w:w="0" w:type="dxa"/>
          </w:tblCellMar>
        </w:tblPrEx>
        <w:trPr>
          <w:trHeight w:val="1085" w:hRule="atLeast"/>
          <w:jc w:val="center"/>
        </w:trPr>
        <w:tc>
          <w:tcPr>
            <w:tcW w:w="27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b/>
                <w:bCs/>
                <w:color w:val="auto"/>
                <w:kern w:val="0"/>
                <w:sz w:val="21"/>
                <w:szCs w:val="21"/>
                <w:lang w:eastAsia="zh-CN"/>
              </w:rPr>
            </w:pPr>
            <w:r>
              <w:rPr>
                <w:rFonts w:hint="eastAsia" w:cs="宋体" w:asciiTheme="minorEastAsia" w:hAnsiTheme="minorEastAsia" w:eastAsiaTheme="minorEastAsia"/>
                <w:color w:val="auto"/>
                <w:kern w:val="0"/>
                <w:sz w:val="21"/>
                <w:szCs w:val="21"/>
                <w:lang w:eastAsia="zh-CN"/>
              </w:rPr>
              <w:t>六安颇美特建设机械有限公司</w:t>
            </w:r>
          </w:p>
        </w:tc>
        <w:tc>
          <w:tcPr>
            <w:tcW w:w="123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eastAsiaTheme="minorEastAsia"/>
                <w:color w:val="auto"/>
                <w:kern w:val="0"/>
                <w:sz w:val="21"/>
                <w:szCs w:val="21"/>
                <w:lang w:eastAsia="zh-CN"/>
              </w:rPr>
              <w:t>钢结构厂房</w:t>
            </w:r>
          </w:p>
        </w:tc>
        <w:tc>
          <w:tcPr>
            <w:tcW w:w="12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default" w:cs="宋体" w:asciiTheme="minorEastAsia" w:hAnsiTheme="minorEastAsia" w:eastAsiaTheme="minorEastAsia"/>
                <w:color w:val="auto"/>
                <w:kern w:val="0"/>
                <w:sz w:val="21"/>
                <w:szCs w:val="21"/>
                <w:lang w:val="en-US" w:eastAsia="zh-CN"/>
              </w:rPr>
            </w:pPr>
            <w:r>
              <w:rPr>
                <w:rFonts w:hint="eastAsia" w:cs="宋体" w:asciiTheme="minorEastAsia" w:hAnsiTheme="minorEastAsia" w:eastAsiaTheme="minorEastAsia"/>
                <w:color w:val="auto"/>
                <w:kern w:val="0"/>
                <w:sz w:val="21"/>
                <w:szCs w:val="21"/>
                <w:lang w:val="en-US" w:eastAsia="zh-CN"/>
              </w:rPr>
              <w:t>960</w:t>
            </w: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eastAsiaTheme="minorEastAsia"/>
                <w:color w:val="auto"/>
                <w:kern w:val="0"/>
                <w:sz w:val="21"/>
                <w:szCs w:val="21"/>
                <w:lang w:eastAsia="zh-CN"/>
              </w:rPr>
              <w:t>钢结构</w:t>
            </w: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default" w:cs="宋体" w:asciiTheme="minorEastAsia" w:hAnsiTheme="minorEastAsia" w:eastAsiaTheme="minorEastAsia"/>
                <w:color w:val="auto"/>
                <w:kern w:val="0"/>
                <w:sz w:val="21"/>
                <w:szCs w:val="21"/>
                <w:lang w:val="en-US" w:eastAsia="zh-CN"/>
              </w:rPr>
            </w:pPr>
            <w:r>
              <w:rPr>
                <w:rFonts w:hint="eastAsia" w:cs="宋体" w:asciiTheme="minorEastAsia" w:hAnsiTheme="minorEastAsia" w:eastAsiaTheme="minorEastAsia"/>
                <w:color w:val="auto"/>
                <w:kern w:val="0"/>
                <w:sz w:val="21"/>
                <w:szCs w:val="21"/>
                <w:lang w:val="en-US" w:eastAsia="zh-CN"/>
              </w:rPr>
              <w:t>1/1F</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eastAsiaTheme="minorEastAsia"/>
                <w:color w:val="auto"/>
                <w:kern w:val="0"/>
                <w:sz w:val="21"/>
                <w:szCs w:val="21"/>
                <w:lang w:val="en-US" w:eastAsia="zh-CN"/>
              </w:rPr>
              <w:t>2008年</w:t>
            </w:r>
          </w:p>
        </w:tc>
      </w:tr>
      <w:tr>
        <w:tblPrEx>
          <w:tblCellMar>
            <w:top w:w="0" w:type="dxa"/>
            <w:left w:w="108" w:type="dxa"/>
            <w:bottom w:w="0" w:type="dxa"/>
            <w:right w:w="108" w:type="dxa"/>
          </w:tblCellMar>
        </w:tblPrEx>
        <w:trPr>
          <w:trHeight w:val="357" w:hRule="atLeast"/>
          <w:jc w:val="center"/>
        </w:trPr>
        <w:tc>
          <w:tcPr>
            <w:tcW w:w="9710" w:type="dxa"/>
            <w:gridSpan w:val="11"/>
            <w:tcBorders>
              <w:top w:val="nil"/>
              <w:left w:val="nil"/>
              <w:bottom w:val="single" w:color="auto" w:sz="4" w:space="0"/>
              <w:right w:val="nil"/>
            </w:tcBorders>
            <w:shd w:val="clear" w:color="auto" w:fill="auto"/>
            <w:noWrap/>
            <w:vAlign w:val="center"/>
          </w:tcPr>
          <w:p>
            <w:pPr>
              <w:shd w:val="clear"/>
              <w:spacing w:line="330" w:lineRule="exact"/>
              <w:ind w:firstLine="360" w:firstLineChars="150"/>
              <w:jc w:val="center"/>
              <w:rPr>
                <w:rFonts w:hint="eastAsia" w:ascii="宋体" w:hAnsi="宋体" w:cs="宋体" w:eastAsiaTheme="minorEastAsia"/>
                <w:b/>
                <w:bCs/>
                <w:color w:val="auto"/>
                <w:kern w:val="0"/>
                <w:sz w:val="21"/>
                <w:szCs w:val="21"/>
                <w:lang w:eastAsia="zh-CN" w:bidi="ar"/>
              </w:rPr>
            </w:pPr>
            <w:r>
              <w:rPr>
                <w:rFonts w:hint="eastAsia" w:asciiTheme="minorEastAsia" w:hAnsiTheme="minorEastAsia" w:eastAsiaTheme="minorEastAsia"/>
                <w:color w:val="auto"/>
                <w:spacing w:val="0"/>
                <w:szCs w:val="22"/>
              </w:rPr>
              <w:t>估价对象附属物</w:t>
            </w:r>
            <w:r>
              <w:rPr>
                <w:rFonts w:hint="eastAsia" w:asciiTheme="minorEastAsia" w:hAnsiTheme="minorEastAsia" w:eastAsiaTheme="minorEastAsia"/>
                <w:color w:val="auto"/>
                <w:spacing w:val="0"/>
                <w:szCs w:val="22"/>
                <w:lang w:eastAsia="zh-CN"/>
              </w:rPr>
              <w:t>一览表</w:t>
            </w:r>
          </w:p>
        </w:tc>
      </w:tr>
      <w:tr>
        <w:tblPrEx>
          <w:tblCellMar>
            <w:top w:w="0" w:type="dxa"/>
            <w:left w:w="108" w:type="dxa"/>
            <w:bottom w:w="0" w:type="dxa"/>
            <w:right w:w="108" w:type="dxa"/>
          </w:tblCellMar>
        </w:tblPrEx>
        <w:trPr>
          <w:trHeight w:val="357" w:hRule="atLeast"/>
          <w:jc w:val="center"/>
        </w:trPr>
        <w:tc>
          <w:tcPr>
            <w:tcW w:w="121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序号</w:t>
            </w:r>
          </w:p>
        </w:tc>
        <w:tc>
          <w:tcPr>
            <w:tcW w:w="2049"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名称</w:t>
            </w:r>
          </w:p>
        </w:tc>
        <w:tc>
          <w:tcPr>
            <w:tcW w:w="1717"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数量</w:t>
            </w:r>
          </w:p>
        </w:tc>
        <w:tc>
          <w:tcPr>
            <w:tcW w:w="1200"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单位</w:t>
            </w:r>
          </w:p>
        </w:tc>
        <w:tc>
          <w:tcPr>
            <w:tcW w:w="950"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结构</w:t>
            </w:r>
          </w:p>
        </w:tc>
        <w:tc>
          <w:tcPr>
            <w:tcW w:w="2577"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备注</w:t>
            </w:r>
          </w:p>
        </w:tc>
      </w:tr>
      <w:tr>
        <w:tblPrEx>
          <w:tblCellMar>
            <w:top w:w="0" w:type="dxa"/>
            <w:left w:w="108" w:type="dxa"/>
            <w:bottom w:w="0" w:type="dxa"/>
            <w:right w:w="108" w:type="dxa"/>
          </w:tblCellMar>
        </w:tblPrEx>
        <w:trPr>
          <w:trHeight w:val="648" w:hRule="atLeast"/>
          <w:jc w:val="center"/>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北门门卫左侧房屋</w:t>
            </w: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21.2</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平方米</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砖混</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层高2.8</w:t>
            </w:r>
          </w:p>
        </w:tc>
      </w:tr>
      <w:tr>
        <w:tblPrEx>
          <w:tblCellMar>
            <w:top w:w="0" w:type="dxa"/>
            <w:left w:w="108" w:type="dxa"/>
            <w:bottom w:w="0" w:type="dxa"/>
            <w:right w:w="108" w:type="dxa"/>
          </w:tblCellMar>
        </w:tblPrEx>
        <w:trPr>
          <w:trHeight w:val="435" w:hRule="atLeast"/>
          <w:jc w:val="center"/>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w:t>
            </w: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南侧配电房</w:t>
            </w: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20.2</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平方米</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砖混</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层高2.9m</w:t>
            </w:r>
          </w:p>
        </w:tc>
      </w:tr>
      <w:tr>
        <w:tblPrEx>
          <w:tblCellMar>
            <w:top w:w="0" w:type="dxa"/>
            <w:left w:w="108" w:type="dxa"/>
            <w:bottom w:w="0" w:type="dxa"/>
            <w:right w:w="108" w:type="dxa"/>
          </w:tblCellMar>
        </w:tblPrEx>
        <w:trPr>
          <w:trHeight w:val="435" w:hRule="atLeast"/>
          <w:jc w:val="center"/>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w:t>
            </w: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东南角厕所</w:t>
            </w: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33</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平方米</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砖混</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层高2.6m，地面铺地砖，墙面铺墙砖</w:t>
            </w:r>
          </w:p>
        </w:tc>
      </w:tr>
      <w:tr>
        <w:tblPrEx>
          <w:tblCellMar>
            <w:top w:w="0" w:type="dxa"/>
            <w:left w:w="108" w:type="dxa"/>
            <w:bottom w:w="0" w:type="dxa"/>
            <w:right w:w="108" w:type="dxa"/>
          </w:tblCellMar>
        </w:tblPrEx>
        <w:trPr>
          <w:trHeight w:val="435" w:hRule="atLeast"/>
          <w:jc w:val="center"/>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4</w:t>
            </w: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东南角厕所边混合房</w:t>
            </w: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21</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平方米</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砖混</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层高2.3，现状差</w:t>
            </w:r>
          </w:p>
        </w:tc>
      </w:tr>
      <w:tr>
        <w:tblPrEx>
          <w:tblCellMar>
            <w:top w:w="0" w:type="dxa"/>
            <w:left w:w="108" w:type="dxa"/>
            <w:bottom w:w="0" w:type="dxa"/>
            <w:right w:w="108" w:type="dxa"/>
          </w:tblCellMar>
        </w:tblPrEx>
        <w:trPr>
          <w:trHeight w:val="435" w:hRule="atLeast"/>
          <w:jc w:val="center"/>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w:t>
            </w: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变压器房</w:t>
            </w: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12.3</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平方米</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砖混</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层高2.9m</w:t>
            </w:r>
          </w:p>
        </w:tc>
      </w:tr>
      <w:tr>
        <w:tblPrEx>
          <w:tblCellMar>
            <w:top w:w="0" w:type="dxa"/>
            <w:left w:w="108" w:type="dxa"/>
            <w:bottom w:w="0" w:type="dxa"/>
            <w:right w:w="108" w:type="dxa"/>
          </w:tblCellMar>
        </w:tblPrEx>
        <w:trPr>
          <w:trHeight w:val="435" w:hRule="atLeast"/>
          <w:jc w:val="center"/>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6</w:t>
            </w: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彩钢瓦房</w:t>
            </w: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48</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平方米</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彩钢瓦</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层高3.5m</w:t>
            </w:r>
          </w:p>
        </w:tc>
      </w:tr>
      <w:tr>
        <w:tblPrEx>
          <w:tblCellMar>
            <w:top w:w="0" w:type="dxa"/>
            <w:left w:w="108" w:type="dxa"/>
            <w:bottom w:w="0" w:type="dxa"/>
            <w:right w:w="108" w:type="dxa"/>
          </w:tblCellMar>
        </w:tblPrEx>
        <w:trPr>
          <w:trHeight w:val="435" w:hRule="atLeast"/>
          <w:jc w:val="center"/>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7</w:t>
            </w: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水泥地坪</w:t>
            </w: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3762</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平方米</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厚度15cm</w:t>
            </w:r>
          </w:p>
        </w:tc>
      </w:tr>
      <w:tr>
        <w:tblPrEx>
          <w:tblCellMar>
            <w:top w:w="0" w:type="dxa"/>
            <w:left w:w="108" w:type="dxa"/>
            <w:bottom w:w="0" w:type="dxa"/>
            <w:right w:w="108" w:type="dxa"/>
          </w:tblCellMar>
        </w:tblPrEx>
        <w:trPr>
          <w:trHeight w:val="435" w:hRule="atLeast"/>
          <w:jc w:val="center"/>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8</w:t>
            </w: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碎石基础</w:t>
            </w: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600</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平方米</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平均厚度约10cm</w:t>
            </w:r>
          </w:p>
        </w:tc>
      </w:tr>
      <w:tr>
        <w:tblPrEx>
          <w:tblCellMar>
            <w:top w:w="0" w:type="dxa"/>
            <w:left w:w="108" w:type="dxa"/>
            <w:bottom w:w="0" w:type="dxa"/>
            <w:right w:w="108" w:type="dxa"/>
          </w:tblCellMar>
        </w:tblPrEx>
        <w:trPr>
          <w:trHeight w:val="435" w:hRule="atLeast"/>
          <w:jc w:val="center"/>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9</w:t>
            </w: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砖混围墙</w:t>
            </w: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12</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米</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位于西门，高2.3m，厚35cm，空心，预留电动门空间，表面抹水泥</w:t>
            </w:r>
          </w:p>
        </w:tc>
      </w:tr>
      <w:tr>
        <w:tblPrEx>
          <w:tblCellMar>
            <w:top w:w="0" w:type="dxa"/>
            <w:left w:w="108" w:type="dxa"/>
            <w:bottom w:w="0" w:type="dxa"/>
            <w:right w:w="108" w:type="dxa"/>
          </w:tblCellMar>
        </w:tblPrEx>
        <w:trPr>
          <w:trHeight w:val="435" w:hRule="atLeast"/>
          <w:jc w:val="center"/>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w:t>
            </w: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砖混围墙</w:t>
            </w: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267.2</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米</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高2.9m，一砖墙，表面抹水泥</w:t>
            </w:r>
          </w:p>
        </w:tc>
      </w:tr>
      <w:tr>
        <w:tblPrEx>
          <w:tblCellMar>
            <w:top w:w="0" w:type="dxa"/>
            <w:left w:w="108" w:type="dxa"/>
            <w:bottom w:w="0" w:type="dxa"/>
            <w:right w:w="108" w:type="dxa"/>
          </w:tblCellMar>
        </w:tblPrEx>
        <w:trPr>
          <w:trHeight w:val="435" w:hRule="atLeast"/>
          <w:jc w:val="center"/>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11</w:t>
            </w: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铁艺围墙</w:t>
            </w: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17</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米</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高1.5m</w:t>
            </w:r>
          </w:p>
        </w:tc>
      </w:tr>
      <w:tr>
        <w:tblPrEx>
          <w:tblCellMar>
            <w:top w:w="0" w:type="dxa"/>
            <w:left w:w="108" w:type="dxa"/>
            <w:bottom w:w="0" w:type="dxa"/>
            <w:right w:w="108" w:type="dxa"/>
          </w:tblCellMar>
        </w:tblPrEx>
        <w:trPr>
          <w:trHeight w:val="435" w:hRule="atLeast"/>
          <w:jc w:val="center"/>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12</w:t>
            </w: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围墙</w:t>
            </w: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154</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米</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高2m，砖基础0.7m，上部铁艺</w:t>
            </w:r>
          </w:p>
        </w:tc>
      </w:tr>
      <w:tr>
        <w:tblPrEx>
          <w:tblCellMar>
            <w:top w:w="0" w:type="dxa"/>
            <w:left w:w="108" w:type="dxa"/>
            <w:bottom w:w="0" w:type="dxa"/>
            <w:right w:w="108" w:type="dxa"/>
          </w:tblCellMar>
        </w:tblPrEx>
        <w:trPr>
          <w:trHeight w:val="435" w:hRule="atLeast"/>
          <w:jc w:val="center"/>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13</w:t>
            </w: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铁丝网围挡</w:t>
            </w: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27</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米</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高1.5m</w:t>
            </w:r>
          </w:p>
        </w:tc>
      </w:tr>
      <w:tr>
        <w:tblPrEx>
          <w:tblCellMar>
            <w:top w:w="0" w:type="dxa"/>
            <w:left w:w="108" w:type="dxa"/>
            <w:bottom w:w="0" w:type="dxa"/>
            <w:right w:w="108" w:type="dxa"/>
          </w:tblCellMar>
        </w:tblPrEx>
        <w:trPr>
          <w:trHeight w:val="435" w:hRule="atLeast"/>
          <w:jc w:val="center"/>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14</w:t>
            </w: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北门造型门楼</w:t>
            </w: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座</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含一间门卫</w:t>
            </w:r>
          </w:p>
        </w:tc>
      </w:tr>
      <w:tr>
        <w:tblPrEx>
          <w:tblCellMar>
            <w:top w:w="0" w:type="dxa"/>
            <w:left w:w="108" w:type="dxa"/>
            <w:bottom w:w="0" w:type="dxa"/>
            <w:right w:w="108" w:type="dxa"/>
          </w:tblCellMar>
        </w:tblPrEx>
        <w:trPr>
          <w:trHeight w:val="435" w:hRule="atLeast"/>
          <w:jc w:val="center"/>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15</w:t>
            </w: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西门造型门楼</w:t>
            </w: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座</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长11.5m，宽8m，中心有圆形空洞（直径约6m），含四立柱（直径约12cm）</w:t>
            </w:r>
          </w:p>
        </w:tc>
      </w:tr>
    </w:tbl>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jc w:val="center"/>
        <w:textAlignment w:val="auto"/>
        <w:rPr>
          <w:rFonts w:hint="eastAsia" w:ascii="宋体" w:hAnsi="宋体"/>
          <w:color w:val="auto"/>
          <w:spacing w:val="0"/>
        </w:rPr>
      </w:pPr>
    </w:p>
    <w:tbl>
      <w:tblPr>
        <w:tblStyle w:val="18"/>
        <w:tblW w:w="9700" w:type="dxa"/>
        <w:jc w:val="center"/>
        <w:tblLayout w:type="fixed"/>
        <w:tblCellMar>
          <w:top w:w="0" w:type="dxa"/>
          <w:left w:w="108" w:type="dxa"/>
          <w:bottom w:w="0" w:type="dxa"/>
          <w:right w:w="108" w:type="dxa"/>
        </w:tblCellMar>
      </w:tblPr>
      <w:tblGrid>
        <w:gridCol w:w="1215"/>
        <w:gridCol w:w="2046"/>
        <w:gridCol w:w="1715"/>
        <w:gridCol w:w="1198"/>
        <w:gridCol w:w="949"/>
        <w:gridCol w:w="2577"/>
      </w:tblGrid>
      <w:tr>
        <w:tblPrEx>
          <w:tblCellMar>
            <w:top w:w="0" w:type="dxa"/>
            <w:left w:w="108" w:type="dxa"/>
            <w:bottom w:w="0" w:type="dxa"/>
            <w:right w:w="108" w:type="dxa"/>
          </w:tblCellMar>
        </w:tblPrEx>
        <w:trPr>
          <w:trHeight w:val="361" w:hRule="atLeast"/>
          <w:tblHeader/>
          <w:jc w:val="center"/>
        </w:trPr>
        <w:tc>
          <w:tcPr>
            <w:tcW w:w="9700" w:type="dxa"/>
            <w:gridSpan w:val="6"/>
            <w:tcBorders>
              <w:top w:val="nil"/>
              <w:left w:val="nil"/>
              <w:bottom w:val="single" w:color="auto" w:sz="4" w:space="0"/>
              <w:right w:val="nil"/>
            </w:tcBorders>
            <w:shd w:val="clear" w:color="auto" w:fill="auto"/>
            <w:noWrap/>
            <w:vAlign w:val="center"/>
          </w:tcPr>
          <w:p>
            <w:pPr>
              <w:shd w:val="clear"/>
              <w:spacing w:line="330" w:lineRule="exact"/>
              <w:ind w:firstLine="360" w:firstLineChars="150"/>
              <w:jc w:val="center"/>
              <w:rPr>
                <w:rFonts w:hint="eastAsia" w:ascii="宋体" w:hAnsi="宋体" w:cs="宋体" w:eastAsiaTheme="minorEastAsia"/>
                <w:b/>
                <w:bCs/>
                <w:color w:val="auto"/>
                <w:kern w:val="0"/>
                <w:sz w:val="21"/>
                <w:szCs w:val="21"/>
                <w:lang w:eastAsia="zh-CN" w:bidi="ar"/>
              </w:rPr>
            </w:pPr>
            <w:r>
              <w:rPr>
                <w:rFonts w:hint="eastAsia" w:asciiTheme="minorEastAsia" w:hAnsiTheme="minorEastAsia" w:eastAsiaTheme="minorEastAsia"/>
                <w:color w:val="auto"/>
                <w:spacing w:val="0"/>
                <w:szCs w:val="22"/>
              </w:rPr>
              <w:t>估价对象</w:t>
            </w:r>
            <w:r>
              <w:rPr>
                <w:rFonts w:hint="eastAsia" w:asciiTheme="minorEastAsia" w:hAnsiTheme="minorEastAsia" w:eastAsiaTheme="minorEastAsia"/>
                <w:color w:val="auto"/>
                <w:spacing w:val="0"/>
                <w:szCs w:val="22"/>
                <w:lang w:eastAsia="zh-CN"/>
              </w:rPr>
              <w:t>绿化苗木一览表</w:t>
            </w:r>
          </w:p>
        </w:tc>
      </w:tr>
      <w:tr>
        <w:tblPrEx>
          <w:tblCellMar>
            <w:top w:w="0" w:type="dxa"/>
            <w:left w:w="108" w:type="dxa"/>
            <w:bottom w:w="0" w:type="dxa"/>
            <w:right w:w="108" w:type="dxa"/>
          </w:tblCellMar>
        </w:tblPrEx>
        <w:trPr>
          <w:trHeight w:val="642" w:hRule="atLeast"/>
          <w:tblHeader/>
          <w:jc w:val="center"/>
        </w:trPr>
        <w:tc>
          <w:tcPr>
            <w:tcW w:w="121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序号</w:t>
            </w:r>
          </w:p>
        </w:tc>
        <w:tc>
          <w:tcPr>
            <w:tcW w:w="204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名称</w:t>
            </w:r>
          </w:p>
        </w:tc>
        <w:tc>
          <w:tcPr>
            <w:tcW w:w="171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数量</w:t>
            </w:r>
          </w:p>
        </w:tc>
        <w:tc>
          <w:tcPr>
            <w:tcW w:w="119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单位</w:t>
            </w:r>
          </w:p>
        </w:tc>
        <w:tc>
          <w:tcPr>
            <w:tcW w:w="94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eastAsia="宋体" w:cs="宋体"/>
                <w:b/>
                <w:bCs/>
                <w:color w:val="auto"/>
                <w:sz w:val="21"/>
                <w:szCs w:val="21"/>
                <w:lang w:eastAsia="zh-CN"/>
              </w:rPr>
            </w:pPr>
            <w:r>
              <w:rPr>
                <w:rFonts w:hint="eastAsia" w:ascii="宋体" w:hAnsi="宋体" w:cs="宋体"/>
                <w:b/>
                <w:bCs/>
                <w:color w:val="auto"/>
                <w:kern w:val="0"/>
                <w:sz w:val="21"/>
                <w:szCs w:val="21"/>
                <w:lang w:eastAsia="zh-CN" w:bidi="ar"/>
              </w:rPr>
              <w:t>米径（</w:t>
            </w:r>
            <w:r>
              <w:rPr>
                <w:rFonts w:hint="eastAsia" w:ascii="宋体" w:hAnsi="宋体" w:cs="宋体"/>
                <w:b/>
                <w:bCs/>
                <w:color w:val="auto"/>
                <w:kern w:val="0"/>
                <w:sz w:val="21"/>
                <w:szCs w:val="21"/>
                <w:lang w:val="en-US" w:eastAsia="zh-CN" w:bidi="ar"/>
              </w:rPr>
              <w:t>cm</w:t>
            </w:r>
            <w:r>
              <w:rPr>
                <w:rFonts w:hint="eastAsia" w:ascii="宋体" w:hAnsi="宋体" w:cs="宋体"/>
                <w:b/>
                <w:bCs/>
                <w:color w:val="auto"/>
                <w:kern w:val="0"/>
                <w:sz w:val="21"/>
                <w:szCs w:val="21"/>
                <w:lang w:eastAsia="zh-CN" w:bidi="ar"/>
              </w:rPr>
              <w:t>）</w:t>
            </w:r>
          </w:p>
        </w:tc>
        <w:tc>
          <w:tcPr>
            <w:tcW w:w="257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备注</w:t>
            </w:r>
          </w:p>
        </w:tc>
      </w:tr>
      <w:tr>
        <w:tblPrEx>
          <w:tblCellMar>
            <w:top w:w="0" w:type="dxa"/>
            <w:left w:w="108" w:type="dxa"/>
            <w:bottom w:w="0" w:type="dxa"/>
            <w:right w:w="108" w:type="dxa"/>
          </w:tblCellMar>
        </w:tblPrEx>
        <w:trPr>
          <w:trHeight w:val="444"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桂花树</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0-5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多杆</w:t>
            </w: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桂花树</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5-10</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三杆</w:t>
            </w: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桂花树</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6</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5-10</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4</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桂花树</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15-20</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多杆</w:t>
            </w: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桂花树</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多杆</w:t>
            </w: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6</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广玉兰</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7</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广玉兰</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20-25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8</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桑树</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9</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桑树</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20-30</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三杆</w:t>
            </w: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紫薇</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5-10</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11</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紫薇</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12</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棕榈树</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13</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棕榈树</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20-25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14</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香樟</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0-5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15</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香樟</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16</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香樟</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15-20</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17</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香樟</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25-30</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18</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香樟</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30-35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19</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绿化带</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190</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平方米</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372" w:hRule="atLeast"/>
          <w:jc w:val="center"/>
        </w:trPr>
        <w:tc>
          <w:tcPr>
            <w:tcW w:w="9700" w:type="dxa"/>
            <w:gridSpan w:val="6"/>
            <w:tcBorders>
              <w:top w:val="nil"/>
              <w:left w:val="nil"/>
              <w:bottom w:val="single" w:color="auto" w:sz="4" w:space="0"/>
              <w:right w:val="nil"/>
            </w:tcBorders>
            <w:shd w:val="clear" w:color="auto" w:fill="auto"/>
            <w:noWrap/>
            <w:vAlign w:val="center"/>
          </w:tcPr>
          <w:p>
            <w:pPr>
              <w:shd w:val="clear"/>
              <w:spacing w:line="330" w:lineRule="exact"/>
              <w:ind w:firstLine="360" w:firstLineChars="150"/>
              <w:jc w:val="center"/>
              <w:rPr>
                <w:rFonts w:hint="eastAsia" w:ascii="宋体" w:hAnsi="宋体" w:cs="宋体" w:eastAsiaTheme="minorEastAsia"/>
                <w:b/>
                <w:bCs/>
                <w:color w:val="auto"/>
                <w:kern w:val="0"/>
                <w:sz w:val="21"/>
                <w:szCs w:val="21"/>
                <w:lang w:eastAsia="zh-CN" w:bidi="ar"/>
              </w:rPr>
            </w:pPr>
            <w:r>
              <w:rPr>
                <w:rFonts w:hint="eastAsia" w:asciiTheme="minorEastAsia" w:hAnsiTheme="minorEastAsia" w:eastAsiaTheme="minorEastAsia"/>
                <w:color w:val="auto"/>
                <w:spacing w:val="0"/>
                <w:szCs w:val="22"/>
              </w:rPr>
              <w:t>估价对象</w:t>
            </w:r>
            <w:r>
              <w:rPr>
                <w:rFonts w:hint="eastAsia" w:asciiTheme="minorEastAsia" w:hAnsiTheme="minorEastAsia" w:eastAsiaTheme="minorEastAsia"/>
                <w:color w:val="auto"/>
                <w:spacing w:val="0"/>
                <w:szCs w:val="22"/>
                <w:lang w:eastAsia="zh-CN"/>
              </w:rPr>
              <w:t>设备一览表</w:t>
            </w:r>
          </w:p>
        </w:tc>
      </w:tr>
      <w:tr>
        <w:tblPrEx>
          <w:tblCellMar>
            <w:top w:w="0" w:type="dxa"/>
            <w:left w:w="108" w:type="dxa"/>
            <w:bottom w:w="0" w:type="dxa"/>
            <w:right w:w="108" w:type="dxa"/>
          </w:tblCellMar>
        </w:tblPrEx>
        <w:trPr>
          <w:trHeight w:val="372" w:hRule="atLeast"/>
          <w:jc w:val="center"/>
        </w:trPr>
        <w:tc>
          <w:tcPr>
            <w:tcW w:w="121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序号</w:t>
            </w:r>
          </w:p>
        </w:tc>
        <w:tc>
          <w:tcPr>
            <w:tcW w:w="204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名称</w:t>
            </w:r>
          </w:p>
        </w:tc>
        <w:tc>
          <w:tcPr>
            <w:tcW w:w="171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数量</w:t>
            </w:r>
          </w:p>
        </w:tc>
        <w:tc>
          <w:tcPr>
            <w:tcW w:w="119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单位</w:t>
            </w:r>
          </w:p>
        </w:tc>
        <w:tc>
          <w:tcPr>
            <w:tcW w:w="3526"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备注</w:t>
            </w:r>
          </w:p>
        </w:tc>
      </w:tr>
      <w:tr>
        <w:tblPrEx>
          <w:tblCellMar>
            <w:top w:w="0" w:type="dxa"/>
            <w:left w:w="108" w:type="dxa"/>
            <w:bottom w:w="0" w:type="dxa"/>
            <w:right w:w="108" w:type="dxa"/>
          </w:tblCellMar>
        </w:tblPrEx>
        <w:trPr>
          <w:trHeight w:val="444"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电动门</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8</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米</w:t>
            </w:r>
          </w:p>
        </w:tc>
        <w:tc>
          <w:tcPr>
            <w:tcW w:w="35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高1.6m，位于西门，</w:t>
            </w: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电动门</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16</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米</w:t>
            </w:r>
          </w:p>
        </w:tc>
        <w:tc>
          <w:tcPr>
            <w:tcW w:w="35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高1.6m，位于北门</w:t>
            </w: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变压器</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台</w:t>
            </w:r>
          </w:p>
        </w:tc>
        <w:tc>
          <w:tcPr>
            <w:tcW w:w="35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200千瓦</w:t>
            </w: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4</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动力柜</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台</w:t>
            </w:r>
          </w:p>
        </w:tc>
        <w:tc>
          <w:tcPr>
            <w:tcW w:w="35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XL-21</w:t>
            </w:r>
          </w:p>
        </w:tc>
      </w:tr>
      <w:tr>
        <w:tblPrEx>
          <w:tblCellMar>
            <w:top w:w="0" w:type="dxa"/>
            <w:left w:w="108" w:type="dxa"/>
            <w:bottom w:w="0" w:type="dxa"/>
            <w:right w:w="108" w:type="dxa"/>
          </w:tblCellMar>
        </w:tblPrEx>
        <w:trPr>
          <w:trHeight w:val="45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配电柜</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台</w:t>
            </w:r>
          </w:p>
        </w:tc>
        <w:tc>
          <w:tcPr>
            <w:tcW w:w="35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GGD</w:t>
            </w:r>
          </w:p>
        </w:tc>
      </w:tr>
      <w:tr>
        <w:tblPrEx>
          <w:tblCellMar>
            <w:top w:w="0" w:type="dxa"/>
            <w:left w:w="108" w:type="dxa"/>
            <w:bottom w:w="0" w:type="dxa"/>
            <w:right w:w="108" w:type="dxa"/>
          </w:tblCellMar>
        </w:tblPrEx>
        <w:trPr>
          <w:trHeight w:val="461"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6</w:t>
            </w:r>
          </w:p>
        </w:tc>
        <w:tc>
          <w:tcPr>
            <w:tcW w:w="2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广告铁架</w:t>
            </w:r>
          </w:p>
        </w:tc>
        <w:tc>
          <w:tcPr>
            <w:tcW w:w="1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84</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平方米</w:t>
            </w:r>
          </w:p>
        </w:tc>
        <w:tc>
          <w:tcPr>
            <w:tcW w:w="35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网格状，高约3m，长28m</w:t>
            </w:r>
          </w:p>
        </w:tc>
      </w:tr>
    </w:tbl>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ascii="宋体" w:hAnsi="宋体"/>
          <w:color w:val="auto"/>
          <w:spacing w:val="0"/>
        </w:rPr>
      </w:pPr>
      <w:r>
        <w:rPr>
          <w:rFonts w:hint="eastAsia" w:ascii="宋体" w:hAnsi="宋体"/>
          <w:color w:val="auto"/>
          <w:spacing w:val="0"/>
        </w:rPr>
        <w:t>估价对象范围包括土地使用权、地上建筑物以及与房屋不可分割的满足其使用功能的室内固定装修</w:t>
      </w:r>
      <w:r>
        <w:rPr>
          <w:rFonts w:hint="eastAsia" w:ascii="宋体" w:hAnsi="宋体"/>
          <w:color w:val="auto"/>
          <w:spacing w:val="0"/>
          <w:lang w:eastAsia="zh-CN"/>
        </w:rPr>
        <w:t>、</w:t>
      </w:r>
      <w:r>
        <w:rPr>
          <w:rFonts w:hint="eastAsia" w:ascii="宋体" w:hAnsi="宋体"/>
          <w:color w:val="auto"/>
          <w:spacing w:val="0"/>
        </w:rPr>
        <w:t>附属配套设施</w:t>
      </w:r>
      <w:r>
        <w:rPr>
          <w:rFonts w:hint="eastAsia" w:ascii="宋体" w:hAnsi="宋体"/>
          <w:color w:val="auto"/>
          <w:spacing w:val="0"/>
          <w:lang w:eastAsia="zh-CN"/>
        </w:rPr>
        <w:t>、</w:t>
      </w:r>
      <w:r>
        <w:rPr>
          <w:rFonts w:hint="eastAsia" w:ascii="宋体" w:hAnsi="宋体"/>
          <w:color w:val="1E1C11" w:themeColor="background2" w:themeShade="1A"/>
          <w:spacing w:val="0"/>
        </w:rPr>
        <w:t>地上附属物及绿化苗木价值</w:t>
      </w:r>
      <w:r>
        <w:rPr>
          <w:rFonts w:hint="eastAsia" w:ascii="宋体" w:hAnsi="宋体"/>
          <w:color w:val="auto"/>
          <w:spacing w:val="0"/>
        </w:rPr>
        <w:t>，不包括动产、债权债务、特许经营权等其他财产或权益。</w:t>
      </w:r>
    </w:p>
    <w:p>
      <w:pPr>
        <w:keepNext w:val="0"/>
        <w:keepLines w:val="0"/>
        <w:pageBreakBefore w:val="0"/>
        <w:widowControl w:val="0"/>
        <w:shd w:val="clear"/>
        <w:kinsoku/>
        <w:wordWrap/>
        <w:overflowPunct/>
        <w:topLinePunct w:val="0"/>
        <w:autoSpaceDE/>
        <w:autoSpaceDN/>
        <w:bidi w:val="0"/>
        <w:adjustRightInd/>
        <w:snapToGrid/>
        <w:spacing w:line="520" w:lineRule="exact"/>
        <w:ind w:firstLine="480" w:firstLineChars="200"/>
        <w:textAlignment w:val="auto"/>
        <w:rPr>
          <w:rFonts w:hint="default" w:ascii="宋体" w:hAnsi="宋体" w:eastAsia="宋体"/>
          <w:color w:val="auto"/>
          <w:spacing w:val="0"/>
          <w:lang w:val="en-US" w:eastAsia="zh-CN"/>
        </w:rPr>
      </w:pPr>
      <w:r>
        <w:rPr>
          <w:rFonts w:hint="eastAsia" w:ascii="宋体" w:hAnsi="宋体"/>
          <w:color w:val="auto"/>
          <w:spacing w:val="0"/>
        </w:rPr>
        <w:t>估价目的：</w:t>
      </w:r>
      <w:r>
        <w:rPr>
          <w:rFonts w:hint="eastAsia" w:ascii="宋体" w:hAnsi="宋体"/>
          <w:color w:val="auto"/>
          <w:spacing w:val="0"/>
          <w:lang w:eastAsia="zh-CN"/>
        </w:rPr>
        <w:t>为人民法院确定财产处置参考价提供参考依据。</w:t>
      </w:r>
    </w:p>
    <w:p>
      <w:pPr>
        <w:keepNext w:val="0"/>
        <w:keepLines w:val="0"/>
        <w:pageBreakBefore w:val="0"/>
        <w:widowControl w:val="0"/>
        <w:shd w:val="clear"/>
        <w:kinsoku/>
        <w:wordWrap/>
        <w:overflowPunct/>
        <w:topLinePunct w:val="0"/>
        <w:autoSpaceDE/>
        <w:autoSpaceDN/>
        <w:bidi w:val="0"/>
        <w:adjustRightInd/>
        <w:snapToGrid/>
        <w:spacing w:line="520" w:lineRule="exact"/>
        <w:ind w:firstLine="480" w:firstLineChars="200"/>
        <w:textAlignment w:val="auto"/>
        <w:rPr>
          <w:rFonts w:ascii="宋体" w:hAnsi="宋体"/>
          <w:color w:val="auto"/>
          <w:spacing w:val="0"/>
        </w:rPr>
      </w:pPr>
      <w:r>
        <w:rPr>
          <w:rFonts w:hint="eastAsia" w:ascii="宋体" w:hAnsi="宋体"/>
          <w:color w:val="auto"/>
          <w:spacing w:val="0"/>
        </w:rPr>
        <w:t>价值类型：市场价值，是基础设施在“</w:t>
      </w:r>
      <w:r>
        <w:rPr>
          <w:rFonts w:hint="eastAsia" w:ascii="宋体" w:hAnsi="宋体"/>
          <w:color w:val="auto"/>
          <w:spacing w:val="0"/>
          <w:lang w:eastAsia="zh-CN"/>
        </w:rPr>
        <w:t>六通</w:t>
      </w:r>
      <w:r>
        <w:rPr>
          <w:rFonts w:hint="eastAsia" w:ascii="宋体" w:hAnsi="宋体"/>
          <w:color w:val="auto"/>
          <w:spacing w:val="0"/>
        </w:rPr>
        <w:t>一平”状态下工业用途房地产于价值时点的市场价值。</w:t>
      </w:r>
    </w:p>
    <w:p>
      <w:pPr>
        <w:keepNext w:val="0"/>
        <w:keepLines w:val="0"/>
        <w:pageBreakBefore w:val="0"/>
        <w:widowControl w:val="0"/>
        <w:shd w:val="clear"/>
        <w:kinsoku/>
        <w:wordWrap/>
        <w:overflowPunct/>
        <w:topLinePunct w:val="0"/>
        <w:autoSpaceDE/>
        <w:autoSpaceDN/>
        <w:bidi w:val="0"/>
        <w:adjustRightInd/>
        <w:snapToGrid/>
        <w:spacing w:line="520" w:lineRule="exact"/>
        <w:ind w:firstLine="480" w:firstLineChars="200"/>
        <w:textAlignment w:val="auto"/>
        <w:rPr>
          <w:rFonts w:ascii="宋体" w:hAnsi="宋体"/>
          <w:color w:val="auto"/>
          <w:spacing w:val="0"/>
        </w:rPr>
      </w:pPr>
      <w:r>
        <w:rPr>
          <w:rFonts w:hint="eastAsia" w:ascii="宋体" w:hAnsi="宋体"/>
          <w:color w:val="auto"/>
          <w:spacing w:val="0"/>
        </w:rPr>
        <w:t>估价方法：我公司对委托估价对象进行了实地查勘和核查，查阅委托人提供的有关资料和文件，在此基础上，土地评估选用了</w:t>
      </w:r>
      <w:r>
        <w:rPr>
          <w:rFonts w:hint="eastAsia" w:ascii="宋体" w:hAnsi="宋体"/>
          <w:color w:val="auto"/>
          <w:spacing w:val="0"/>
          <w:lang w:eastAsia="zh-CN"/>
        </w:rPr>
        <w:t>基准地价系数修正法</w:t>
      </w:r>
      <w:r>
        <w:rPr>
          <w:rFonts w:hint="eastAsia" w:ascii="宋体" w:hAnsi="宋体"/>
          <w:color w:val="auto"/>
          <w:spacing w:val="0"/>
        </w:rPr>
        <w:t>、成本</w:t>
      </w:r>
      <w:r>
        <w:rPr>
          <w:rFonts w:hint="eastAsia" w:ascii="宋体" w:hAnsi="宋体"/>
          <w:color w:val="auto"/>
          <w:spacing w:val="0"/>
          <w:lang w:eastAsia="zh-CN"/>
        </w:rPr>
        <w:t>逼近</w:t>
      </w:r>
      <w:r>
        <w:rPr>
          <w:rFonts w:hint="eastAsia" w:ascii="宋体" w:hAnsi="宋体"/>
          <w:color w:val="auto"/>
          <w:spacing w:val="0"/>
        </w:rPr>
        <w:t>法，建筑物、附属物评估采用了成本法</w:t>
      </w:r>
      <w:r>
        <w:rPr>
          <w:rFonts w:hint="eastAsia" w:ascii="宋体" w:hAnsi="宋体"/>
          <w:color w:val="auto"/>
          <w:spacing w:val="0"/>
          <w:lang w:eastAsia="zh-CN"/>
        </w:rPr>
        <w:t>，设备、绿化苗木采用市场法</w:t>
      </w:r>
      <w:r>
        <w:rPr>
          <w:rFonts w:hint="eastAsia" w:ascii="宋体" w:hAnsi="宋体"/>
          <w:color w:val="auto"/>
          <w:spacing w:val="0"/>
        </w:rPr>
        <w:t>进行了测算。</w:t>
      </w:r>
    </w:p>
    <w:p>
      <w:pPr>
        <w:keepNext w:val="0"/>
        <w:keepLines w:val="0"/>
        <w:pageBreakBefore w:val="0"/>
        <w:widowControl w:val="0"/>
        <w:shd w:val="clear"/>
        <w:kinsoku/>
        <w:wordWrap/>
        <w:overflowPunct/>
        <w:topLinePunct w:val="0"/>
        <w:autoSpaceDE/>
        <w:autoSpaceDN/>
        <w:bidi w:val="0"/>
        <w:adjustRightInd/>
        <w:snapToGrid/>
        <w:spacing w:line="520" w:lineRule="exact"/>
        <w:ind w:firstLine="480" w:firstLineChars="200"/>
        <w:textAlignment w:val="auto"/>
        <w:rPr>
          <w:rFonts w:ascii="宋体" w:hAnsi="宋体"/>
          <w:color w:val="auto"/>
          <w:spacing w:val="0"/>
        </w:rPr>
      </w:pPr>
      <w:r>
        <w:rPr>
          <w:rFonts w:hint="eastAsia" w:ascii="宋体" w:hAnsi="宋体"/>
          <w:color w:val="auto"/>
          <w:spacing w:val="0"/>
        </w:rPr>
        <w:t>我公司房地产估价师根据估价目的，遵循估价原则，按照评估工作程序，采用科学合理的评估方法，在认真分析现有资料的基础上，经过周密准确的测算，并结合估价经验，详细考虑了影响房地产价格的各项因素，确定估价对象在满足估价报告的假设和限制条件下，于价值时点</w:t>
      </w:r>
      <w:r>
        <w:rPr>
          <w:rFonts w:hint="eastAsia" w:ascii="宋体" w:hAnsi="宋体"/>
          <w:color w:val="auto"/>
          <w:spacing w:val="0"/>
          <w:lang w:eastAsia="zh-CN"/>
        </w:rPr>
        <w:t>2023年09月13日</w:t>
      </w:r>
      <w:r>
        <w:rPr>
          <w:rFonts w:hint="eastAsia" w:ascii="宋体" w:hAnsi="宋体"/>
          <w:color w:val="auto"/>
          <w:spacing w:val="0"/>
        </w:rPr>
        <w:t>的市场价值为：</w:t>
      </w:r>
    </w:p>
    <w:p>
      <w:pPr>
        <w:keepNext w:val="0"/>
        <w:keepLines w:val="0"/>
        <w:pageBreakBefore w:val="0"/>
        <w:widowControl w:val="0"/>
        <w:shd w:val="clear"/>
        <w:kinsoku/>
        <w:wordWrap/>
        <w:overflowPunct/>
        <w:topLinePunct w:val="0"/>
        <w:autoSpaceDE/>
        <w:autoSpaceDN/>
        <w:bidi w:val="0"/>
        <w:adjustRightInd/>
        <w:snapToGrid/>
        <w:spacing w:line="520" w:lineRule="exact"/>
        <w:ind w:firstLine="480" w:firstLineChars="200"/>
        <w:textAlignment w:val="auto"/>
        <w:rPr>
          <w:rFonts w:asciiTheme="minorEastAsia" w:hAnsiTheme="minorEastAsia" w:eastAsiaTheme="minorEastAsia"/>
          <w:color w:val="auto"/>
          <w:spacing w:val="0"/>
          <w:szCs w:val="24"/>
        </w:rPr>
      </w:pPr>
      <w:r>
        <w:rPr>
          <w:rFonts w:hint="eastAsia" w:asciiTheme="minorEastAsia" w:hAnsiTheme="minorEastAsia" w:eastAsiaTheme="minorEastAsia"/>
          <w:color w:val="auto"/>
          <w:spacing w:val="0"/>
          <w:szCs w:val="24"/>
        </w:rPr>
        <w:t>房地产评估总价：￥</w:t>
      </w:r>
      <w:r>
        <w:rPr>
          <w:rFonts w:hint="eastAsia" w:asciiTheme="minorEastAsia" w:hAnsiTheme="minorEastAsia" w:eastAsiaTheme="minorEastAsia"/>
          <w:color w:val="auto"/>
          <w:spacing w:val="0"/>
          <w:szCs w:val="24"/>
          <w:lang w:val="en-US" w:eastAsia="zh-CN"/>
        </w:rPr>
        <w:t>18089108</w:t>
      </w:r>
      <w:r>
        <w:rPr>
          <w:rFonts w:hint="eastAsia" w:asciiTheme="minorEastAsia" w:hAnsiTheme="minorEastAsia" w:eastAsiaTheme="minorEastAsia"/>
          <w:color w:val="auto"/>
          <w:spacing w:val="0"/>
          <w:szCs w:val="24"/>
        </w:rPr>
        <w:t>元</w:t>
      </w:r>
    </w:p>
    <w:p>
      <w:pPr>
        <w:keepNext w:val="0"/>
        <w:keepLines w:val="0"/>
        <w:pageBreakBefore w:val="0"/>
        <w:widowControl w:val="0"/>
        <w:shd w:val="clear"/>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olor w:val="auto"/>
          <w:spacing w:val="0"/>
          <w:szCs w:val="24"/>
        </w:rPr>
      </w:pPr>
      <w:r>
        <w:rPr>
          <w:rFonts w:hint="eastAsia" w:asciiTheme="minorEastAsia" w:hAnsiTheme="minorEastAsia" w:eastAsiaTheme="minorEastAsia"/>
          <w:color w:val="auto"/>
          <w:spacing w:val="0"/>
          <w:szCs w:val="24"/>
        </w:rPr>
        <w:t>大写：人民币</w:t>
      </w:r>
      <w:r>
        <w:rPr>
          <w:rFonts w:hint="eastAsia" w:asciiTheme="minorEastAsia" w:hAnsiTheme="minorEastAsia" w:eastAsiaTheme="minorEastAsia"/>
          <w:color w:val="auto"/>
          <w:spacing w:val="0"/>
          <w:szCs w:val="24"/>
          <w:lang w:val="en-US" w:eastAsia="zh-CN"/>
        </w:rPr>
        <w:t>壹仟捌佰零捌万玖仟壹佰零捌元整</w:t>
      </w:r>
    </w:p>
    <w:tbl>
      <w:tblPr>
        <w:tblStyle w:val="18"/>
        <w:tblpPr w:leftFromText="180" w:rightFromText="180" w:vertAnchor="text" w:horzAnchor="margin" w:tblpXSpec="center" w:tblpY="137"/>
        <w:tblOverlap w:val="never"/>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3"/>
        <w:gridCol w:w="943"/>
        <w:gridCol w:w="849"/>
        <w:gridCol w:w="850"/>
        <w:gridCol w:w="707"/>
        <w:gridCol w:w="991"/>
        <w:gridCol w:w="990"/>
        <w:gridCol w:w="990"/>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8915" w:type="dxa"/>
            <w:gridSpan w:val="9"/>
            <w:tcBorders>
              <w:top w:val="nil"/>
              <w:left w:val="nil"/>
              <w:bottom w:val="single" w:color="auto" w:sz="4" w:space="0"/>
              <w:right w:val="nil"/>
            </w:tcBorders>
            <w:tcMar>
              <w:top w:w="15" w:type="dxa"/>
              <w:left w:w="15" w:type="dxa"/>
              <w:right w:w="15" w:type="dxa"/>
            </w:tcMar>
            <w:vAlign w:val="center"/>
          </w:tcPr>
          <w:p>
            <w:pPr>
              <w:shd w:val="clear"/>
              <w:spacing w:line="520" w:lineRule="exact"/>
              <w:jc w:val="center"/>
              <w:rPr>
                <w:rFonts w:hint="eastAsia" w:cs="宋体" w:asciiTheme="minorEastAsia" w:hAnsiTheme="minorEastAsia" w:eastAsiaTheme="minorEastAsia"/>
                <w:b/>
                <w:bCs/>
                <w:color w:val="auto"/>
                <w:kern w:val="0"/>
                <w:sz w:val="18"/>
                <w:szCs w:val="18"/>
                <w:lang w:val="en-US" w:eastAsia="zh-CN"/>
              </w:rPr>
            </w:pPr>
            <w:r>
              <w:rPr>
                <w:rFonts w:hint="eastAsia" w:asciiTheme="minorEastAsia" w:hAnsiTheme="minorEastAsia" w:eastAsiaTheme="minorEastAsia"/>
                <w:b/>
                <w:bCs/>
                <w:color w:val="auto"/>
                <w:spacing w:val="0"/>
                <w:sz w:val="21"/>
                <w:szCs w:val="21"/>
                <w:lang w:eastAsia="zh-CN"/>
              </w:rPr>
              <w:t>估价对象评估结果</w:t>
            </w:r>
            <w:r>
              <w:rPr>
                <w:rFonts w:hint="eastAsia" w:asciiTheme="minorEastAsia" w:hAnsiTheme="minorEastAsia" w:eastAsiaTheme="minorEastAsia"/>
                <w:b/>
                <w:bCs/>
                <w:color w:val="auto"/>
                <w:spacing w:val="0"/>
                <w:sz w:val="21"/>
                <w:szCs w:val="21"/>
              </w:rPr>
              <w:t>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3" w:hRule="atLeast"/>
          <w:jc w:val="center"/>
        </w:trPr>
        <w:tc>
          <w:tcPr>
            <w:tcW w:w="1463" w:type="dxa"/>
            <w:tcBorders>
              <w:top w:val="single" w:color="auto" w:sz="4" w:space="0"/>
            </w:tcBorders>
            <w:tcMar>
              <w:top w:w="15" w:type="dxa"/>
              <w:left w:w="15" w:type="dxa"/>
              <w:right w:w="15" w:type="dxa"/>
            </w:tcMar>
            <w:vAlign w:val="center"/>
          </w:tcPr>
          <w:p>
            <w:pPr>
              <w:widowControl/>
              <w:shd w:val="clear"/>
              <w:jc w:val="center"/>
              <w:textAlignment w:val="center"/>
              <w:rPr>
                <w:rFonts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名称</w:t>
            </w:r>
          </w:p>
        </w:tc>
        <w:tc>
          <w:tcPr>
            <w:tcW w:w="943" w:type="dxa"/>
            <w:tcBorders>
              <w:top w:val="single" w:color="auto" w:sz="4" w:space="0"/>
            </w:tcBorders>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房屋结构</w:t>
            </w:r>
          </w:p>
        </w:tc>
        <w:tc>
          <w:tcPr>
            <w:tcW w:w="849" w:type="dxa"/>
            <w:tcBorders>
              <w:top w:val="single" w:color="auto" w:sz="4" w:space="0"/>
            </w:tcBorders>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所在层/总层数</w:t>
            </w:r>
          </w:p>
        </w:tc>
        <w:tc>
          <w:tcPr>
            <w:tcW w:w="850" w:type="dxa"/>
            <w:tcBorders>
              <w:top w:val="single" w:color="auto" w:sz="4" w:space="0"/>
            </w:tcBorders>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建成</w:t>
            </w:r>
          </w:p>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年代</w:t>
            </w:r>
          </w:p>
        </w:tc>
        <w:tc>
          <w:tcPr>
            <w:tcW w:w="707" w:type="dxa"/>
            <w:tcBorders>
              <w:top w:val="single" w:color="auto" w:sz="4" w:space="0"/>
            </w:tcBorders>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综合成新率</w:t>
            </w:r>
          </w:p>
        </w:tc>
        <w:tc>
          <w:tcPr>
            <w:tcW w:w="991" w:type="dxa"/>
            <w:tcBorders>
              <w:top w:val="single" w:color="auto" w:sz="4" w:space="0"/>
            </w:tcBorders>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重置价格</w:t>
            </w:r>
          </w:p>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（元/㎡）</w:t>
            </w:r>
          </w:p>
        </w:tc>
        <w:tc>
          <w:tcPr>
            <w:tcW w:w="990" w:type="dxa"/>
            <w:tcBorders>
              <w:top w:val="single" w:color="auto" w:sz="4" w:space="0"/>
            </w:tcBorders>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评估单价</w:t>
            </w:r>
          </w:p>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（元/㎡）</w:t>
            </w:r>
          </w:p>
        </w:tc>
        <w:tc>
          <w:tcPr>
            <w:tcW w:w="990" w:type="dxa"/>
            <w:tcBorders>
              <w:top w:val="single" w:color="auto" w:sz="4" w:space="0"/>
            </w:tcBorders>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建筑面积（㎡）</w:t>
            </w:r>
          </w:p>
        </w:tc>
        <w:tc>
          <w:tcPr>
            <w:tcW w:w="1132" w:type="dxa"/>
            <w:tcBorders>
              <w:top w:val="single" w:color="auto" w:sz="4" w:space="0"/>
            </w:tcBorders>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lang w:val="en-US" w:eastAsia="zh-CN"/>
              </w:rPr>
            </w:pPr>
            <w:r>
              <w:rPr>
                <w:rFonts w:hint="eastAsia" w:cs="宋体" w:asciiTheme="minorEastAsia" w:hAnsiTheme="minorEastAsia" w:eastAsiaTheme="minorEastAsia"/>
                <w:b/>
                <w:bCs/>
                <w:color w:val="auto"/>
                <w:kern w:val="0"/>
                <w:sz w:val="18"/>
                <w:szCs w:val="18"/>
                <w:lang w:val="en-US" w:eastAsia="zh-CN"/>
              </w:rPr>
              <w:t>评估总价</w:t>
            </w:r>
          </w:p>
          <w:p>
            <w:pPr>
              <w:widowControl/>
              <w:shd w:val="clear"/>
              <w:jc w:val="center"/>
              <w:textAlignment w:val="center"/>
              <w:rPr>
                <w:rFonts w:hint="eastAsia" w:cs="宋体" w:asciiTheme="minorEastAsia" w:hAnsiTheme="minorEastAsia" w:eastAsiaTheme="minorEastAsia"/>
                <w:b/>
                <w:bCs/>
                <w:color w:val="auto"/>
                <w:kern w:val="0"/>
                <w:sz w:val="18"/>
                <w:szCs w:val="18"/>
                <w:lang w:val="en-US" w:eastAsia="zh-CN"/>
              </w:rPr>
            </w:pPr>
            <w:r>
              <w:rPr>
                <w:rFonts w:hint="eastAsia" w:cs="宋体" w:asciiTheme="minorEastAsia" w:hAnsiTheme="minorEastAsia" w:eastAsiaTheme="minorEastAsia"/>
                <w:b/>
                <w:bCs/>
                <w:color w:val="auto"/>
                <w:kern w:val="0"/>
                <w:sz w:val="18"/>
                <w:szCs w:val="18"/>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1463" w:type="dxa"/>
            <w:tcMar>
              <w:top w:w="15" w:type="dxa"/>
              <w:left w:w="15" w:type="dxa"/>
              <w:right w:w="15" w:type="dxa"/>
            </w:tcMar>
            <w:vAlign w:val="center"/>
          </w:tcPr>
          <w:p>
            <w:pPr>
              <w:widowControl/>
              <w:shd w:val="clear"/>
              <w:spacing w:line="0" w:lineRule="atLeast"/>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1#</w:t>
            </w:r>
          </w:p>
        </w:tc>
        <w:tc>
          <w:tcPr>
            <w:tcW w:w="943"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钢混</w:t>
            </w:r>
          </w:p>
        </w:tc>
        <w:tc>
          <w:tcPr>
            <w:tcW w:w="849" w:type="dxa"/>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460" w:lineRule="exac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21"/>
                <w:szCs w:val="21"/>
                <w:lang w:val="en-US" w:eastAsia="zh-CN"/>
              </w:rPr>
              <w:t>1-5/5F</w:t>
            </w:r>
          </w:p>
        </w:tc>
        <w:tc>
          <w:tcPr>
            <w:tcW w:w="850" w:type="dxa"/>
            <w:noWrap/>
            <w:tcMar>
              <w:top w:w="15" w:type="dxa"/>
              <w:left w:w="15" w:type="dxa"/>
              <w:right w:w="15" w:type="dxa"/>
            </w:tcMar>
            <w:vAlign w:val="center"/>
          </w:tcPr>
          <w:p>
            <w:pPr>
              <w:widowControl/>
              <w:shd w:val="clear"/>
              <w:spacing w:line="0" w:lineRule="atLeast"/>
              <w:jc w:val="center"/>
              <w:rPr>
                <w:rFonts w:hint="default"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2008年</w:t>
            </w:r>
          </w:p>
        </w:tc>
        <w:tc>
          <w:tcPr>
            <w:tcW w:w="707"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78.00%</w:t>
            </w:r>
          </w:p>
        </w:tc>
        <w:tc>
          <w:tcPr>
            <w:tcW w:w="991" w:type="dxa"/>
            <w:vAlign w:val="center"/>
          </w:tcPr>
          <w:p>
            <w:pPr>
              <w:widowControl/>
              <w:shd w:val="clear"/>
              <w:spacing w:line="0" w:lineRule="atLeast"/>
              <w:jc w:val="center"/>
              <w:rPr>
                <w:rFonts w:hint="default"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2351</w:t>
            </w:r>
          </w:p>
        </w:tc>
        <w:tc>
          <w:tcPr>
            <w:tcW w:w="990" w:type="dxa"/>
            <w:vAlign w:val="center"/>
          </w:tcPr>
          <w:p>
            <w:pPr>
              <w:widowControl/>
              <w:shd w:val="clear"/>
              <w:spacing w:line="0" w:lineRule="atLeast"/>
              <w:jc w:val="center"/>
              <w:rPr>
                <w:rFonts w:hint="default" w:cs="宋体" w:asciiTheme="minorEastAsia" w:hAnsiTheme="minorEastAsia" w:eastAsiaTheme="minorEastAsia"/>
                <w:color w:val="auto"/>
                <w:kern w:val="0"/>
                <w:sz w:val="18"/>
                <w:szCs w:val="18"/>
                <w:lang w:val="en-US"/>
              </w:rPr>
            </w:pPr>
            <w:r>
              <w:rPr>
                <w:rFonts w:hint="eastAsia" w:cs="宋体" w:asciiTheme="minorEastAsia" w:hAnsiTheme="minorEastAsia" w:eastAsiaTheme="minorEastAsia"/>
                <w:color w:val="auto"/>
                <w:kern w:val="0"/>
                <w:sz w:val="18"/>
                <w:szCs w:val="18"/>
                <w:lang w:val="en-US" w:eastAsia="zh-CN"/>
              </w:rPr>
              <w:t>1834</w:t>
            </w:r>
          </w:p>
        </w:tc>
        <w:tc>
          <w:tcPr>
            <w:tcW w:w="990"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4010.50</w:t>
            </w:r>
          </w:p>
        </w:tc>
        <w:tc>
          <w:tcPr>
            <w:tcW w:w="1132"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7355257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1463" w:type="dxa"/>
            <w:tcMar>
              <w:top w:w="15" w:type="dxa"/>
              <w:left w:w="15" w:type="dxa"/>
              <w:right w:w="15" w:type="dxa"/>
            </w:tcMar>
            <w:vAlign w:val="center"/>
          </w:tcPr>
          <w:p>
            <w:pPr>
              <w:widowControl/>
              <w:shd w:val="clear"/>
              <w:spacing w:line="0" w:lineRule="atLeast"/>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2#</w:t>
            </w:r>
          </w:p>
        </w:tc>
        <w:tc>
          <w:tcPr>
            <w:tcW w:w="943"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钢混</w:t>
            </w:r>
          </w:p>
        </w:tc>
        <w:tc>
          <w:tcPr>
            <w:tcW w:w="849" w:type="dxa"/>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460" w:lineRule="exac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21"/>
                <w:szCs w:val="21"/>
                <w:lang w:val="en-US" w:eastAsia="zh-CN"/>
              </w:rPr>
              <w:t>1-2/2F</w:t>
            </w:r>
          </w:p>
        </w:tc>
        <w:tc>
          <w:tcPr>
            <w:tcW w:w="850"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2008年</w:t>
            </w:r>
          </w:p>
        </w:tc>
        <w:tc>
          <w:tcPr>
            <w:tcW w:w="707"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78.00%</w:t>
            </w:r>
          </w:p>
        </w:tc>
        <w:tc>
          <w:tcPr>
            <w:tcW w:w="991"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2080</w:t>
            </w:r>
          </w:p>
        </w:tc>
        <w:tc>
          <w:tcPr>
            <w:tcW w:w="990" w:type="dxa"/>
            <w:vAlign w:val="center"/>
          </w:tcPr>
          <w:p>
            <w:pPr>
              <w:widowControl/>
              <w:shd w:val="clear"/>
              <w:spacing w:line="0" w:lineRule="atLeast"/>
              <w:jc w:val="center"/>
              <w:rPr>
                <w:rFonts w:hint="default" w:cs="宋体" w:asciiTheme="minorEastAsia" w:hAnsiTheme="minorEastAsia" w:eastAsiaTheme="minorEastAsia"/>
                <w:color w:val="auto"/>
                <w:kern w:val="0"/>
                <w:sz w:val="18"/>
                <w:szCs w:val="18"/>
                <w:lang w:val="en-US"/>
              </w:rPr>
            </w:pPr>
            <w:r>
              <w:rPr>
                <w:rFonts w:hint="eastAsia" w:cs="宋体" w:asciiTheme="minorEastAsia" w:hAnsiTheme="minorEastAsia" w:eastAsiaTheme="minorEastAsia"/>
                <w:color w:val="auto"/>
                <w:kern w:val="0"/>
                <w:sz w:val="18"/>
                <w:szCs w:val="18"/>
                <w:lang w:val="en-US" w:eastAsia="zh-CN"/>
              </w:rPr>
              <w:t>1622</w:t>
            </w:r>
          </w:p>
        </w:tc>
        <w:tc>
          <w:tcPr>
            <w:tcW w:w="990"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684.51</w:t>
            </w:r>
          </w:p>
        </w:tc>
        <w:tc>
          <w:tcPr>
            <w:tcW w:w="1132"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1110275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1463" w:type="dxa"/>
            <w:tcMar>
              <w:top w:w="15" w:type="dxa"/>
              <w:left w:w="15" w:type="dxa"/>
              <w:right w:w="15" w:type="dxa"/>
            </w:tcMar>
            <w:vAlign w:val="center"/>
          </w:tcPr>
          <w:p>
            <w:pPr>
              <w:widowControl/>
              <w:shd w:val="clear"/>
              <w:spacing w:line="0" w:lineRule="atLeast"/>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3#</w:t>
            </w:r>
          </w:p>
        </w:tc>
        <w:tc>
          <w:tcPr>
            <w:tcW w:w="943"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钢混</w:t>
            </w:r>
          </w:p>
        </w:tc>
        <w:tc>
          <w:tcPr>
            <w:tcW w:w="849" w:type="dxa"/>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460" w:lineRule="exac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21"/>
                <w:szCs w:val="21"/>
                <w:lang w:val="en-US" w:eastAsia="zh-CN"/>
              </w:rPr>
              <w:t>1-2/2F</w:t>
            </w:r>
          </w:p>
        </w:tc>
        <w:tc>
          <w:tcPr>
            <w:tcW w:w="850"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2008年</w:t>
            </w:r>
          </w:p>
        </w:tc>
        <w:tc>
          <w:tcPr>
            <w:tcW w:w="707"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78.00%</w:t>
            </w:r>
          </w:p>
        </w:tc>
        <w:tc>
          <w:tcPr>
            <w:tcW w:w="991"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1945</w:t>
            </w:r>
          </w:p>
        </w:tc>
        <w:tc>
          <w:tcPr>
            <w:tcW w:w="990" w:type="dxa"/>
            <w:vAlign w:val="center"/>
          </w:tcPr>
          <w:p>
            <w:pPr>
              <w:widowControl/>
              <w:shd w:val="clear"/>
              <w:spacing w:line="0" w:lineRule="atLeast"/>
              <w:jc w:val="center"/>
              <w:rPr>
                <w:rFonts w:hint="default" w:cs="宋体" w:asciiTheme="minorEastAsia" w:hAnsiTheme="minorEastAsia" w:eastAsiaTheme="minorEastAsia"/>
                <w:color w:val="auto"/>
                <w:kern w:val="0"/>
                <w:sz w:val="18"/>
                <w:szCs w:val="18"/>
                <w:lang w:val="en-US"/>
              </w:rPr>
            </w:pPr>
            <w:r>
              <w:rPr>
                <w:rFonts w:hint="eastAsia" w:cs="宋体" w:asciiTheme="minorEastAsia" w:hAnsiTheme="minorEastAsia" w:eastAsiaTheme="minorEastAsia"/>
                <w:color w:val="auto"/>
                <w:kern w:val="0"/>
                <w:sz w:val="18"/>
                <w:szCs w:val="18"/>
                <w:lang w:val="en-US" w:eastAsia="zh-CN"/>
              </w:rPr>
              <w:t>1517</w:t>
            </w:r>
          </w:p>
        </w:tc>
        <w:tc>
          <w:tcPr>
            <w:tcW w:w="990"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1538.97</w:t>
            </w:r>
          </w:p>
        </w:tc>
        <w:tc>
          <w:tcPr>
            <w:tcW w:w="1132"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2334617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1463" w:type="dxa"/>
            <w:tcMar>
              <w:top w:w="15" w:type="dxa"/>
              <w:left w:w="15" w:type="dxa"/>
              <w:right w:w="15" w:type="dxa"/>
            </w:tcMar>
            <w:vAlign w:val="center"/>
          </w:tcPr>
          <w:p>
            <w:pPr>
              <w:widowControl/>
              <w:shd w:val="clear"/>
              <w:spacing w:line="0" w:lineRule="atLeast"/>
              <w:jc w:val="center"/>
              <w:rPr>
                <w:rFonts w:hint="eastAsia" w:asciiTheme="minorEastAsia" w:hAnsiTheme="minorEastAsia" w:eastAsiaTheme="minorEastAsia" w:cstheme="minorBidi"/>
                <w:bCs/>
                <w:color w:val="auto"/>
                <w:spacing w:val="0"/>
                <w:sz w:val="18"/>
                <w:szCs w:val="18"/>
                <w:lang w:val="en-US" w:eastAsia="zh-CN"/>
              </w:rPr>
            </w:pPr>
            <w:r>
              <w:rPr>
                <w:rFonts w:hint="eastAsia" w:cs="宋体" w:asciiTheme="minorEastAsia" w:hAnsiTheme="minorEastAsia" w:eastAsiaTheme="minorEastAsia"/>
                <w:color w:val="auto"/>
                <w:kern w:val="0"/>
                <w:sz w:val="18"/>
                <w:szCs w:val="18"/>
                <w:lang w:val="en-US" w:eastAsia="zh-CN"/>
              </w:rPr>
              <w:t>4#</w:t>
            </w:r>
          </w:p>
        </w:tc>
        <w:tc>
          <w:tcPr>
            <w:tcW w:w="943" w:type="dxa"/>
            <w:noWrap/>
            <w:tcMar>
              <w:top w:w="15" w:type="dxa"/>
              <w:left w:w="15" w:type="dxa"/>
              <w:right w:w="15" w:type="dxa"/>
            </w:tcMar>
            <w:vAlign w:val="center"/>
          </w:tcPr>
          <w:p>
            <w:pPr>
              <w:widowControl/>
              <w:shd w:val="clear"/>
              <w:spacing w:line="0" w:lineRule="atLeast"/>
              <w:jc w:val="center"/>
              <w:rPr>
                <w:rFonts w:hint="eastAsia" w:asciiTheme="minorEastAsia" w:hAnsiTheme="minorEastAsia" w:eastAsiaTheme="minorEastAsia" w:cstheme="minorBidi"/>
                <w:bCs/>
                <w:color w:val="auto"/>
                <w:spacing w:val="0"/>
                <w:sz w:val="18"/>
                <w:szCs w:val="18"/>
                <w:lang w:val="en-US" w:eastAsia="zh-CN"/>
              </w:rPr>
            </w:pPr>
            <w:r>
              <w:rPr>
                <w:rFonts w:hint="eastAsia" w:cs="宋体" w:asciiTheme="minorEastAsia" w:hAnsiTheme="minorEastAsia" w:eastAsiaTheme="minorEastAsia"/>
                <w:color w:val="auto"/>
                <w:kern w:val="0"/>
                <w:sz w:val="18"/>
                <w:szCs w:val="18"/>
                <w:lang w:val="en-US" w:eastAsia="zh-CN"/>
              </w:rPr>
              <w:t>钢混</w:t>
            </w:r>
          </w:p>
        </w:tc>
        <w:tc>
          <w:tcPr>
            <w:tcW w:w="849" w:type="dxa"/>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460" w:lineRule="exac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21"/>
                <w:szCs w:val="21"/>
                <w:lang w:val="en-US" w:eastAsia="zh-CN"/>
              </w:rPr>
              <w:t>1-2/2F</w:t>
            </w:r>
          </w:p>
        </w:tc>
        <w:tc>
          <w:tcPr>
            <w:tcW w:w="850"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2008年</w:t>
            </w:r>
          </w:p>
        </w:tc>
        <w:tc>
          <w:tcPr>
            <w:tcW w:w="707" w:type="dxa"/>
            <w:noWrap/>
            <w:tcMar>
              <w:top w:w="15" w:type="dxa"/>
              <w:left w:w="15" w:type="dxa"/>
              <w:right w:w="15" w:type="dxa"/>
            </w:tcMar>
            <w:vAlign w:val="center"/>
          </w:tcPr>
          <w:p>
            <w:pPr>
              <w:widowControl/>
              <w:shd w:val="clear"/>
              <w:spacing w:line="0" w:lineRule="atLeast"/>
              <w:jc w:val="center"/>
              <w:rPr>
                <w:rFonts w:hint="eastAsia" w:ascii="宋体" w:hAnsi="宋体" w:eastAsia="宋体" w:cs="宋体"/>
                <w:i w:val="0"/>
                <w:iCs w:val="0"/>
                <w:color w:val="000000"/>
                <w:spacing w:val="10"/>
                <w:kern w:val="0"/>
                <w:sz w:val="18"/>
                <w:szCs w:val="18"/>
                <w:u w:val="none"/>
                <w:lang w:val="en-US" w:eastAsia="zh-CN" w:bidi="ar"/>
              </w:rPr>
            </w:pPr>
            <w:r>
              <w:rPr>
                <w:rFonts w:hint="eastAsia" w:cs="宋体" w:asciiTheme="minorEastAsia" w:hAnsiTheme="minorEastAsia" w:eastAsiaTheme="minorEastAsia"/>
                <w:color w:val="auto"/>
                <w:kern w:val="0"/>
                <w:sz w:val="18"/>
                <w:szCs w:val="18"/>
                <w:lang w:val="en-US" w:eastAsia="zh-CN"/>
              </w:rPr>
              <w:t>78.00%</w:t>
            </w:r>
          </w:p>
        </w:tc>
        <w:tc>
          <w:tcPr>
            <w:tcW w:w="991" w:type="dxa"/>
            <w:vAlign w:val="center"/>
          </w:tcPr>
          <w:p>
            <w:pPr>
              <w:widowControl/>
              <w:shd w:val="clear"/>
              <w:spacing w:line="0" w:lineRule="atLeast"/>
              <w:jc w:val="center"/>
              <w:rPr>
                <w:rFonts w:hint="eastAsia" w:ascii="宋体" w:hAnsi="宋体" w:eastAsia="宋体" w:cs="宋体"/>
                <w:i w:val="0"/>
                <w:iCs w:val="0"/>
                <w:color w:val="000000"/>
                <w:spacing w:val="10"/>
                <w:kern w:val="0"/>
                <w:sz w:val="18"/>
                <w:szCs w:val="18"/>
                <w:u w:val="none"/>
                <w:lang w:val="en-US" w:eastAsia="zh-CN" w:bidi="ar"/>
              </w:rPr>
            </w:pPr>
            <w:r>
              <w:rPr>
                <w:rFonts w:hint="eastAsia" w:cs="宋体" w:asciiTheme="minorEastAsia" w:hAnsiTheme="minorEastAsia" w:eastAsiaTheme="minorEastAsia"/>
                <w:color w:val="auto"/>
                <w:kern w:val="0"/>
                <w:sz w:val="18"/>
                <w:szCs w:val="18"/>
                <w:lang w:val="en-US" w:eastAsia="zh-CN"/>
              </w:rPr>
              <w:t>1945</w:t>
            </w:r>
          </w:p>
        </w:tc>
        <w:tc>
          <w:tcPr>
            <w:tcW w:w="990" w:type="dxa"/>
            <w:vAlign w:val="center"/>
          </w:tcPr>
          <w:p>
            <w:pPr>
              <w:widowControl/>
              <w:shd w:val="clear"/>
              <w:spacing w:line="0" w:lineRule="atLeast"/>
              <w:jc w:val="center"/>
              <w:rPr>
                <w:rFonts w:hint="eastAsia" w:ascii="宋体" w:hAnsi="宋体" w:eastAsia="宋体" w:cs="宋体"/>
                <w:i w:val="0"/>
                <w:iCs w:val="0"/>
                <w:color w:val="000000"/>
                <w:spacing w:val="10"/>
                <w:kern w:val="0"/>
                <w:sz w:val="18"/>
                <w:szCs w:val="18"/>
                <w:u w:val="none"/>
                <w:lang w:val="en-US" w:eastAsia="zh-CN" w:bidi="ar"/>
              </w:rPr>
            </w:pPr>
            <w:r>
              <w:rPr>
                <w:rFonts w:hint="eastAsia" w:cs="宋体" w:asciiTheme="minorEastAsia" w:hAnsiTheme="minorEastAsia" w:eastAsiaTheme="minorEastAsia"/>
                <w:color w:val="auto"/>
                <w:kern w:val="0"/>
                <w:sz w:val="18"/>
                <w:szCs w:val="18"/>
                <w:lang w:val="en-US" w:eastAsia="zh-CN"/>
              </w:rPr>
              <w:t>1517</w:t>
            </w:r>
          </w:p>
        </w:tc>
        <w:tc>
          <w:tcPr>
            <w:tcW w:w="990" w:type="dxa"/>
            <w:vAlign w:val="center"/>
          </w:tcPr>
          <w:p>
            <w:pPr>
              <w:widowControl/>
              <w:shd w:val="clear"/>
              <w:spacing w:line="0" w:lineRule="atLeast"/>
              <w:jc w:val="center"/>
              <w:rPr>
                <w:rFonts w:hint="eastAsia" w:ascii="宋体" w:hAnsi="宋体" w:eastAsia="宋体" w:cs="宋体"/>
                <w:i w:val="0"/>
                <w:iCs w:val="0"/>
                <w:color w:val="1E1C11"/>
                <w:spacing w:val="10"/>
                <w:kern w:val="0"/>
                <w:sz w:val="18"/>
                <w:szCs w:val="18"/>
                <w:u w:val="none"/>
                <w:lang w:val="en-US" w:eastAsia="zh-CN" w:bidi="ar"/>
              </w:rPr>
            </w:pPr>
            <w:r>
              <w:rPr>
                <w:rFonts w:hint="eastAsia" w:cs="宋体" w:asciiTheme="minorEastAsia" w:hAnsiTheme="minorEastAsia" w:eastAsiaTheme="minorEastAsia"/>
                <w:color w:val="auto"/>
                <w:kern w:val="0"/>
                <w:sz w:val="18"/>
                <w:szCs w:val="18"/>
                <w:lang w:val="en-US" w:eastAsia="zh-CN"/>
              </w:rPr>
              <w:t>1538.97</w:t>
            </w:r>
          </w:p>
        </w:tc>
        <w:tc>
          <w:tcPr>
            <w:tcW w:w="1132" w:type="dxa"/>
            <w:vAlign w:val="center"/>
          </w:tcPr>
          <w:p>
            <w:pPr>
              <w:widowControl/>
              <w:shd w:val="clear"/>
              <w:spacing w:line="0" w:lineRule="atLeast"/>
              <w:jc w:val="center"/>
              <w:rPr>
                <w:rFonts w:hint="eastAsia" w:ascii="宋体" w:hAnsi="宋体" w:eastAsia="宋体" w:cs="宋体"/>
                <w:i w:val="0"/>
                <w:iCs w:val="0"/>
                <w:color w:val="000000"/>
                <w:spacing w:val="10"/>
                <w:kern w:val="0"/>
                <w:sz w:val="18"/>
                <w:szCs w:val="18"/>
                <w:u w:val="none"/>
                <w:lang w:val="en-US" w:eastAsia="zh-CN" w:bidi="ar"/>
              </w:rPr>
            </w:pPr>
            <w:r>
              <w:rPr>
                <w:rFonts w:hint="eastAsia" w:cs="宋体" w:asciiTheme="minorEastAsia" w:hAnsiTheme="minorEastAsia" w:eastAsiaTheme="minorEastAsia"/>
                <w:color w:val="auto"/>
                <w:kern w:val="0"/>
                <w:sz w:val="18"/>
                <w:szCs w:val="18"/>
                <w:lang w:val="en-US" w:eastAsia="zh-CN"/>
              </w:rPr>
              <w:t>2334617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1463" w:type="dxa"/>
            <w:tcMar>
              <w:top w:w="15" w:type="dxa"/>
              <w:left w:w="15" w:type="dxa"/>
              <w:right w:w="15" w:type="dxa"/>
            </w:tcMar>
            <w:vAlign w:val="center"/>
          </w:tcPr>
          <w:p>
            <w:pPr>
              <w:widowControl/>
              <w:shd w:val="clear"/>
              <w:spacing w:line="0" w:lineRule="atLeast"/>
              <w:jc w:val="center"/>
              <w:rPr>
                <w:rFonts w:hint="eastAsia" w:asciiTheme="minorEastAsia" w:hAnsiTheme="minorEastAsia" w:eastAsiaTheme="minorEastAsia" w:cstheme="minorBidi"/>
                <w:bCs/>
                <w:color w:val="auto"/>
                <w:spacing w:val="0"/>
                <w:sz w:val="18"/>
                <w:szCs w:val="18"/>
                <w:lang w:val="en-US" w:eastAsia="zh-CN"/>
              </w:rPr>
            </w:pPr>
            <w:r>
              <w:rPr>
                <w:rFonts w:hint="eastAsia" w:cs="宋体" w:asciiTheme="minorEastAsia" w:hAnsiTheme="minorEastAsia" w:eastAsiaTheme="minorEastAsia"/>
                <w:color w:val="auto"/>
                <w:kern w:val="0"/>
                <w:sz w:val="18"/>
                <w:szCs w:val="18"/>
                <w:lang w:val="en-US" w:eastAsia="zh-CN"/>
              </w:rPr>
              <w:t>钢结构厂房</w:t>
            </w:r>
          </w:p>
        </w:tc>
        <w:tc>
          <w:tcPr>
            <w:tcW w:w="943" w:type="dxa"/>
            <w:noWrap/>
            <w:tcMar>
              <w:top w:w="15" w:type="dxa"/>
              <w:left w:w="15" w:type="dxa"/>
              <w:right w:w="15" w:type="dxa"/>
            </w:tcMar>
            <w:vAlign w:val="center"/>
          </w:tcPr>
          <w:p>
            <w:pPr>
              <w:widowControl/>
              <w:shd w:val="clear"/>
              <w:spacing w:line="0" w:lineRule="atLeast"/>
              <w:jc w:val="center"/>
              <w:rPr>
                <w:rFonts w:hint="eastAsia" w:asciiTheme="minorEastAsia" w:hAnsiTheme="minorEastAsia" w:eastAsiaTheme="minorEastAsia" w:cstheme="minorBidi"/>
                <w:bCs/>
                <w:color w:val="auto"/>
                <w:spacing w:val="0"/>
                <w:sz w:val="18"/>
                <w:szCs w:val="18"/>
                <w:lang w:val="en-US" w:eastAsia="zh-CN"/>
              </w:rPr>
            </w:pPr>
            <w:r>
              <w:rPr>
                <w:rFonts w:hint="eastAsia" w:cs="宋体" w:asciiTheme="minorEastAsia" w:hAnsiTheme="minorEastAsia" w:eastAsiaTheme="minorEastAsia"/>
                <w:color w:val="auto"/>
                <w:kern w:val="0"/>
                <w:sz w:val="18"/>
                <w:szCs w:val="18"/>
                <w:lang w:val="en-US" w:eastAsia="zh-CN"/>
              </w:rPr>
              <w:t>钢结构</w:t>
            </w:r>
          </w:p>
        </w:tc>
        <w:tc>
          <w:tcPr>
            <w:tcW w:w="849" w:type="dxa"/>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460" w:lineRule="exac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21"/>
                <w:szCs w:val="21"/>
                <w:lang w:val="en-US" w:eastAsia="zh-CN"/>
              </w:rPr>
              <w:t>1-5/5F</w:t>
            </w:r>
          </w:p>
        </w:tc>
        <w:tc>
          <w:tcPr>
            <w:tcW w:w="850"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2008年</w:t>
            </w:r>
          </w:p>
        </w:tc>
        <w:tc>
          <w:tcPr>
            <w:tcW w:w="707" w:type="dxa"/>
            <w:noWrap/>
            <w:tcMar>
              <w:top w:w="15" w:type="dxa"/>
              <w:left w:w="15" w:type="dxa"/>
              <w:right w:w="15" w:type="dxa"/>
            </w:tcMar>
            <w:vAlign w:val="center"/>
          </w:tcPr>
          <w:p>
            <w:pPr>
              <w:widowControl/>
              <w:shd w:val="clear"/>
              <w:spacing w:line="0" w:lineRule="atLeast"/>
              <w:jc w:val="center"/>
              <w:rPr>
                <w:rFonts w:hint="eastAsia" w:ascii="宋体" w:hAnsi="宋体" w:eastAsia="宋体" w:cs="宋体"/>
                <w:i w:val="0"/>
                <w:iCs w:val="0"/>
                <w:color w:val="000000"/>
                <w:spacing w:val="10"/>
                <w:kern w:val="0"/>
                <w:sz w:val="18"/>
                <w:szCs w:val="18"/>
                <w:u w:val="none"/>
                <w:lang w:val="en-US" w:eastAsia="zh-CN" w:bidi="ar"/>
              </w:rPr>
            </w:pPr>
            <w:r>
              <w:rPr>
                <w:rFonts w:hint="eastAsia" w:cs="宋体" w:asciiTheme="minorEastAsia" w:hAnsiTheme="minorEastAsia" w:eastAsiaTheme="minorEastAsia"/>
                <w:color w:val="auto"/>
                <w:kern w:val="0"/>
                <w:sz w:val="18"/>
                <w:szCs w:val="18"/>
                <w:lang w:val="en-US" w:eastAsia="zh-CN"/>
              </w:rPr>
              <w:t>80.00%</w:t>
            </w:r>
          </w:p>
        </w:tc>
        <w:tc>
          <w:tcPr>
            <w:tcW w:w="991" w:type="dxa"/>
            <w:vAlign w:val="center"/>
          </w:tcPr>
          <w:p>
            <w:pPr>
              <w:widowControl/>
              <w:shd w:val="clear"/>
              <w:spacing w:line="0" w:lineRule="atLeast"/>
              <w:jc w:val="center"/>
              <w:rPr>
                <w:rFonts w:hint="eastAsia" w:ascii="宋体" w:hAnsi="宋体" w:eastAsia="宋体" w:cs="宋体"/>
                <w:i w:val="0"/>
                <w:iCs w:val="0"/>
                <w:color w:val="000000"/>
                <w:spacing w:val="10"/>
                <w:kern w:val="0"/>
                <w:sz w:val="18"/>
                <w:szCs w:val="18"/>
                <w:u w:val="none"/>
                <w:lang w:val="en-US" w:eastAsia="zh-CN" w:bidi="ar"/>
              </w:rPr>
            </w:pPr>
            <w:r>
              <w:rPr>
                <w:rFonts w:hint="eastAsia" w:cs="宋体" w:asciiTheme="minorEastAsia" w:hAnsiTheme="minorEastAsia" w:eastAsiaTheme="minorEastAsia"/>
                <w:color w:val="auto"/>
                <w:kern w:val="0"/>
                <w:sz w:val="18"/>
                <w:szCs w:val="18"/>
                <w:lang w:val="en-US" w:eastAsia="zh-CN"/>
              </w:rPr>
              <w:t>1219</w:t>
            </w:r>
          </w:p>
        </w:tc>
        <w:tc>
          <w:tcPr>
            <w:tcW w:w="990" w:type="dxa"/>
            <w:vAlign w:val="center"/>
          </w:tcPr>
          <w:p>
            <w:pPr>
              <w:widowControl/>
              <w:shd w:val="clear"/>
              <w:spacing w:line="0" w:lineRule="atLeast"/>
              <w:jc w:val="center"/>
              <w:rPr>
                <w:rFonts w:hint="eastAsia" w:ascii="宋体" w:hAnsi="宋体" w:eastAsia="宋体" w:cs="宋体"/>
                <w:i w:val="0"/>
                <w:iCs w:val="0"/>
                <w:color w:val="000000"/>
                <w:spacing w:val="10"/>
                <w:kern w:val="0"/>
                <w:sz w:val="18"/>
                <w:szCs w:val="18"/>
                <w:u w:val="none"/>
                <w:lang w:val="en-US" w:eastAsia="zh-CN" w:bidi="ar"/>
              </w:rPr>
            </w:pPr>
            <w:r>
              <w:rPr>
                <w:rFonts w:hint="eastAsia" w:cs="宋体" w:asciiTheme="minorEastAsia" w:hAnsiTheme="minorEastAsia" w:eastAsiaTheme="minorEastAsia"/>
                <w:color w:val="auto"/>
                <w:kern w:val="0"/>
                <w:sz w:val="18"/>
                <w:szCs w:val="18"/>
                <w:lang w:val="en-US" w:eastAsia="zh-CN"/>
              </w:rPr>
              <w:t>975</w:t>
            </w:r>
          </w:p>
        </w:tc>
        <w:tc>
          <w:tcPr>
            <w:tcW w:w="990" w:type="dxa"/>
            <w:vAlign w:val="center"/>
          </w:tcPr>
          <w:p>
            <w:pPr>
              <w:widowControl/>
              <w:shd w:val="clear"/>
              <w:spacing w:line="0" w:lineRule="atLeast"/>
              <w:jc w:val="center"/>
              <w:rPr>
                <w:rFonts w:hint="eastAsia" w:ascii="宋体" w:hAnsi="宋体" w:eastAsia="宋体" w:cs="宋体"/>
                <w:i w:val="0"/>
                <w:iCs w:val="0"/>
                <w:color w:val="1E1C11"/>
                <w:spacing w:val="10"/>
                <w:kern w:val="0"/>
                <w:sz w:val="18"/>
                <w:szCs w:val="18"/>
                <w:u w:val="none"/>
                <w:lang w:val="en-US" w:eastAsia="zh-CN" w:bidi="ar"/>
              </w:rPr>
            </w:pPr>
            <w:r>
              <w:rPr>
                <w:rFonts w:hint="eastAsia" w:cs="宋体" w:asciiTheme="minorEastAsia" w:hAnsiTheme="minorEastAsia" w:eastAsiaTheme="minorEastAsia"/>
                <w:color w:val="auto"/>
                <w:kern w:val="0"/>
                <w:sz w:val="18"/>
                <w:szCs w:val="18"/>
                <w:lang w:val="en-US" w:eastAsia="zh-CN"/>
              </w:rPr>
              <w:t>960</w:t>
            </w:r>
          </w:p>
        </w:tc>
        <w:tc>
          <w:tcPr>
            <w:tcW w:w="1132" w:type="dxa"/>
            <w:vAlign w:val="center"/>
          </w:tcPr>
          <w:p>
            <w:pPr>
              <w:widowControl/>
              <w:shd w:val="clear"/>
              <w:spacing w:line="0" w:lineRule="atLeast"/>
              <w:jc w:val="center"/>
              <w:rPr>
                <w:rFonts w:hint="eastAsia" w:ascii="宋体" w:hAnsi="宋体" w:eastAsia="宋体" w:cs="宋体"/>
                <w:i w:val="0"/>
                <w:iCs w:val="0"/>
                <w:color w:val="000000"/>
                <w:spacing w:val="10"/>
                <w:kern w:val="0"/>
                <w:sz w:val="18"/>
                <w:szCs w:val="18"/>
                <w:u w:val="none"/>
                <w:lang w:val="en-US" w:eastAsia="zh-CN" w:bidi="ar"/>
              </w:rPr>
            </w:pPr>
            <w:r>
              <w:rPr>
                <w:rFonts w:hint="eastAsia" w:cs="宋体" w:asciiTheme="minorEastAsia" w:hAnsiTheme="minorEastAsia" w:eastAsiaTheme="minorEastAsia"/>
                <w:color w:val="auto"/>
                <w:kern w:val="0"/>
                <w:sz w:val="18"/>
                <w:szCs w:val="18"/>
                <w:lang w:val="en-US" w:eastAsia="zh-CN"/>
              </w:rPr>
              <w:t>936000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1463" w:type="dxa"/>
            <w:tcMar>
              <w:top w:w="15" w:type="dxa"/>
              <w:left w:w="15" w:type="dxa"/>
              <w:right w:w="15" w:type="dxa"/>
            </w:tcMar>
            <w:vAlign w:val="center"/>
          </w:tcPr>
          <w:p>
            <w:pPr>
              <w:widowControl/>
              <w:shd w:val="clear"/>
              <w:jc w:val="center"/>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房产合计</w:t>
            </w:r>
          </w:p>
        </w:tc>
        <w:tc>
          <w:tcPr>
            <w:tcW w:w="943" w:type="dxa"/>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w:t>
            </w:r>
          </w:p>
        </w:tc>
        <w:tc>
          <w:tcPr>
            <w:tcW w:w="849" w:type="dxa"/>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w:t>
            </w:r>
          </w:p>
        </w:tc>
        <w:tc>
          <w:tcPr>
            <w:tcW w:w="850"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w:t>
            </w:r>
          </w:p>
        </w:tc>
        <w:tc>
          <w:tcPr>
            <w:tcW w:w="707"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w:t>
            </w:r>
          </w:p>
        </w:tc>
        <w:tc>
          <w:tcPr>
            <w:tcW w:w="991"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w:t>
            </w:r>
          </w:p>
        </w:tc>
        <w:tc>
          <w:tcPr>
            <w:tcW w:w="990"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w:t>
            </w:r>
          </w:p>
        </w:tc>
        <w:tc>
          <w:tcPr>
            <w:tcW w:w="990"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lang w:eastAsia="zh-CN"/>
              </w:rPr>
            </w:pPr>
            <w:r>
              <w:rPr>
                <w:rFonts w:hint="eastAsia" w:cs="宋体" w:asciiTheme="minorEastAsia" w:hAnsiTheme="minorEastAsia" w:eastAsiaTheme="minorEastAsia"/>
                <w:color w:val="auto"/>
                <w:kern w:val="0"/>
                <w:sz w:val="18"/>
                <w:szCs w:val="18"/>
                <w:lang w:val="en-US" w:eastAsia="zh-CN"/>
              </w:rPr>
              <w:t>8732.95</w:t>
            </w:r>
          </w:p>
        </w:tc>
        <w:tc>
          <w:tcPr>
            <w:tcW w:w="1132" w:type="dxa"/>
            <w:vAlign w:val="center"/>
          </w:tcPr>
          <w:p>
            <w:pPr>
              <w:widowControl/>
              <w:shd w:val="clear"/>
              <w:spacing w:line="0" w:lineRule="atLeast"/>
              <w:jc w:val="center"/>
              <w:rPr>
                <w:rFonts w:hint="default"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14070766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463" w:type="dxa"/>
            <w:tcMar>
              <w:top w:w="15" w:type="dxa"/>
              <w:left w:w="15" w:type="dxa"/>
              <w:right w:w="15" w:type="dxa"/>
            </w:tcMar>
            <w:vAlign w:val="center"/>
          </w:tcPr>
          <w:p>
            <w:pPr>
              <w:widowControl/>
              <w:shd w:val="clear"/>
              <w:spacing w:line="300" w:lineRule="exact"/>
              <w:jc w:val="center"/>
              <w:textAlignment w:val="center"/>
              <w:rPr>
                <w:rFonts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名称</w:t>
            </w:r>
          </w:p>
        </w:tc>
        <w:tc>
          <w:tcPr>
            <w:tcW w:w="1792" w:type="dxa"/>
            <w:gridSpan w:val="2"/>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用途</w:t>
            </w:r>
          </w:p>
        </w:tc>
        <w:tc>
          <w:tcPr>
            <w:tcW w:w="1557" w:type="dxa"/>
            <w:gridSpan w:val="2"/>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面积（㎡）</w:t>
            </w:r>
          </w:p>
        </w:tc>
        <w:tc>
          <w:tcPr>
            <w:tcW w:w="1981" w:type="dxa"/>
            <w:gridSpan w:val="2"/>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单价（元/㎡）</w:t>
            </w:r>
          </w:p>
        </w:tc>
        <w:tc>
          <w:tcPr>
            <w:tcW w:w="2122" w:type="dxa"/>
            <w:gridSpan w:val="2"/>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评估总价(元)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1463" w:type="dxa"/>
            <w:tcMar>
              <w:top w:w="15" w:type="dxa"/>
              <w:left w:w="15" w:type="dxa"/>
              <w:right w:w="15" w:type="dxa"/>
            </w:tcMar>
            <w:vAlign w:val="center"/>
          </w:tcPr>
          <w:p>
            <w:pPr>
              <w:widowControl/>
              <w:shd w:val="clear"/>
              <w:jc w:val="center"/>
              <w:textAlignment w:val="center"/>
              <w:rPr>
                <w:rFonts w:hint="default"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土地使用权</w:t>
            </w:r>
          </w:p>
        </w:tc>
        <w:tc>
          <w:tcPr>
            <w:tcW w:w="1792" w:type="dxa"/>
            <w:gridSpan w:val="2"/>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工业</w:t>
            </w:r>
          </w:p>
        </w:tc>
        <w:tc>
          <w:tcPr>
            <w:tcW w:w="1557" w:type="dxa"/>
            <w:gridSpan w:val="2"/>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14828.37</w:t>
            </w:r>
          </w:p>
        </w:tc>
        <w:tc>
          <w:tcPr>
            <w:tcW w:w="1981" w:type="dxa"/>
            <w:gridSpan w:val="2"/>
            <w:vAlign w:val="center"/>
          </w:tcPr>
          <w:p>
            <w:pPr>
              <w:widowControl/>
              <w:shd w:val="clear"/>
              <w:jc w:val="center"/>
              <w:textAlignment w:val="center"/>
              <w:rPr>
                <w:rFonts w:hint="default"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215</w:t>
            </w:r>
          </w:p>
        </w:tc>
        <w:tc>
          <w:tcPr>
            <w:tcW w:w="2122" w:type="dxa"/>
            <w:gridSpan w:val="2"/>
            <w:vAlign w:val="center"/>
          </w:tcPr>
          <w:p>
            <w:pPr>
              <w:widowControl/>
              <w:shd w:val="clear"/>
              <w:jc w:val="center"/>
              <w:textAlignment w:val="center"/>
              <w:rPr>
                <w:rFonts w:hint="eastAsia"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3188100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1463" w:type="dxa"/>
            <w:tcMar>
              <w:top w:w="15" w:type="dxa"/>
              <w:left w:w="15" w:type="dxa"/>
              <w:right w:w="15" w:type="dxa"/>
            </w:tcMar>
            <w:vAlign w:val="center"/>
          </w:tcPr>
          <w:p>
            <w:pPr>
              <w:widowControl/>
              <w:shd w:val="clear"/>
              <w:jc w:val="center"/>
              <w:textAlignment w:val="center"/>
              <w:rPr>
                <w:rFonts w:hint="default"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附属物等</w:t>
            </w:r>
          </w:p>
        </w:tc>
        <w:tc>
          <w:tcPr>
            <w:tcW w:w="1792" w:type="dxa"/>
            <w:gridSpan w:val="2"/>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color w:val="auto"/>
                <w:kern w:val="0"/>
                <w:sz w:val="18"/>
                <w:szCs w:val="18"/>
                <w:lang w:val="en-US" w:eastAsia="zh-CN"/>
              </w:rPr>
            </w:pPr>
          </w:p>
        </w:tc>
        <w:tc>
          <w:tcPr>
            <w:tcW w:w="1557" w:type="dxa"/>
            <w:gridSpan w:val="2"/>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color w:val="auto"/>
                <w:kern w:val="0"/>
                <w:sz w:val="18"/>
                <w:szCs w:val="18"/>
                <w:lang w:val="en-US" w:eastAsia="zh-CN"/>
              </w:rPr>
            </w:pPr>
          </w:p>
        </w:tc>
        <w:tc>
          <w:tcPr>
            <w:tcW w:w="1981" w:type="dxa"/>
            <w:gridSpan w:val="2"/>
            <w:vAlign w:val="center"/>
          </w:tcPr>
          <w:p>
            <w:pPr>
              <w:widowControl/>
              <w:shd w:val="clear"/>
              <w:jc w:val="center"/>
              <w:textAlignment w:val="center"/>
              <w:rPr>
                <w:rFonts w:hint="eastAsia" w:cs="宋体" w:asciiTheme="minorEastAsia" w:hAnsiTheme="minorEastAsia" w:eastAsiaTheme="minorEastAsia"/>
                <w:color w:val="auto"/>
                <w:kern w:val="0"/>
                <w:sz w:val="18"/>
                <w:szCs w:val="18"/>
                <w:lang w:val="en-US" w:eastAsia="zh-CN"/>
              </w:rPr>
            </w:pPr>
          </w:p>
        </w:tc>
        <w:tc>
          <w:tcPr>
            <w:tcW w:w="2122" w:type="dxa"/>
            <w:gridSpan w:val="2"/>
            <w:vAlign w:val="center"/>
          </w:tcPr>
          <w:p>
            <w:pPr>
              <w:widowControl/>
              <w:shd w:val="clear"/>
              <w:jc w:val="center"/>
              <w:textAlignment w:val="center"/>
              <w:rPr>
                <w:rFonts w:hint="default"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830242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1463" w:type="dxa"/>
            <w:tcMar>
              <w:top w:w="15" w:type="dxa"/>
              <w:left w:w="15" w:type="dxa"/>
              <w:right w:w="15" w:type="dxa"/>
            </w:tcMar>
            <w:vAlign w:val="center"/>
          </w:tcPr>
          <w:p>
            <w:pPr>
              <w:widowControl/>
              <w:shd w:val="clear"/>
              <w:spacing w:line="300" w:lineRule="exact"/>
              <w:jc w:val="center"/>
              <w:textAlignment w:val="center"/>
              <w:rPr>
                <w:rFonts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总计</w:t>
            </w:r>
          </w:p>
        </w:tc>
        <w:tc>
          <w:tcPr>
            <w:tcW w:w="1792" w:type="dxa"/>
            <w:gridSpan w:val="2"/>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p>
        </w:tc>
        <w:tc>
          <w:tcPr>
            <w:tcW w:w="1557" w:type="dxa"/>
            <w:gridSpan w:val="2"/>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p>
        </w:tc>
        <w:tc>
          <w:tcPr>
            <w:tcW w:w="1981" w:type="dxa"/>
            <w:gridSpan w:val="2"/>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p>
        </w:tc>
        <w:tc>
          <w:tcPr>
            <w:tcW w:w="2122" w:type="dxa"/>
            <w:gridSpan w:val="2"/>
            <w:vAlign w:val="center"/>
          </w:tcPr>
          <w:p>
            <w:pPr>
              <w:keepNext w:val="0"/>
              <w:keepLines w:val="0"/>
              <w:widowControl/>
              <w:suppressLineNumbers w:val="0"/>
              <w:jc w:val="center"/>
              <w:textAlignment w:val="center"/>
              <w:rPr>
                <w:rFonts w:hint="default" w:ascii="宋体" w:hAnsi="宋体" w:eastAsia="宋体" w:cs="宋体"/>
                <w:i w:val="0"/>
                <w:iCs w:val="0"/>
                <w:color w:val="000000"/>
                <w:spacing w:val="10"/>
                <w:kern w:val="2"/>
                <w:sz w:val="22"/>
                <w:szCs w:val="22"/>
                <w:u w:val="none"/>
                <w:lang w:val="en-US" w:eastAsia="zh-CN" w:bidi="ar-SA"/>
              </w:rPr>
            </w:pPr>
            <w:r>
              <w:rPr>
                <w:rFonts w:hint="eastAsia" w:cs="宋体" w:asciiTheme="minorEastAsia" w:hAnsiTheme="minorEastAsia" w:eastAsiaTheme="minorEastAsia"/>
                <w:b/>
                <w:bCs/>
                <w:color w:val="auto"/>
                <w:kern w:val="0"/>
                <w:sz w:val="18"/>
                <w:szCs w:val="18"/>
                <w:lang w:val="en-US" w:eastAsia="zh-CN"/>
              </w:rPr>
              <w:t>18089108</w:t>
            </w:r>
          </w:p>
        </w:tc>
      </w:tr>
    </w:tbl>
    <w:p>
      <w:pPr>
        <w:widowControl/>
        <w:shd w:val="clear"/>
        <w:jc w:val="left"/>
        <w:rPr>
          <w:rFonts w:hint="eastAsia" w:asciiTheme="minorEastAsia" w:hAnsiTheme="minorEastAsia" w:eastAsiaTheme="minorEastAsia"/>
          <w:color w:val="auto"/>
          <w:sz w:val="36"/>
        </w:rPr>
      </w:pPr>
    </w:p>
    <w:tbl>
      <w:tblPr>
        <w:tblStyle w:val="18"/>
        <w:tblW w:w="9360" w:type="dxa"/>
        <w:jc w:val="center"/>
        <w:tblLayout w:type="fixed"/>
        <w:tblCellMar>
          <w:top w:w="0" w:type="dxa"/>
          <w:left w:w="108" w:type="dxa"/>
          <w:bottom w:w="0" w:type="dxa"/>
          <w:right w:w="108" w:type="dxa"/>
        </w:tblCellMar>
      </w:tblPr>
      <w:tblGrid>
        <w:gridCol w:w="976"/>
        <w:gridCol w:w="1685"/>
        <w:gridCol w:w="1092"/>
        <w:gridCol w:w="1187"/>
        <w:gridCol w:w="1356"/>
        <w:gridCol w:w="1494"/>
        <w:gridCol w:w="1570"/>
      </w:tblGrid>
      <w:tr>
        <w:tblPrEx>
          <w:tblCellMar>
            <w:top w:w="0" w:type="dxa"/>
            <w:left w:w="108" w:type="dxa"/>
            <w:bottom w:w="0" w:type="dxa"/>
            <w:right w:w="108" w:type="dxa"/>
          </w:tblCellMar>
        </w:tblPrEx>
        <w:trPr>
          <w:trHeight w:val="305" w:hRule="atLeast"/>
          <w:jc w:val="center"/>
        </w:trPr>
        <w:tc>
          <w:tcPr>
            <w:tcW w:w="9360" w:type="dxa"/>
            <w:gridSpan w:val="7"/>
            <w:tcBorders>
              <w:top w:val="nil"/>
              <w:left w:val="nil"/>
              <w:bottom w:val="single" w:color="auto" w:sz="4" w:space="0"/>
              <w:right w:val="nil"/>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val="en-US" w:eastAsia="zh-CN" w:bidi="ar"/>
              </w:rPr>
            </w:pPr>
            <w:r>
              <w:rPr>
                <w:rFonts w:hint="eastAsia" w:ascii="宋体" w:hAnsi="宋体" w:cs="宋体"/>
                <w:b/>
                <w:bCs/>
                <w:color w:val="auto"/>
                <w:kern w:val="0"/>
                <w:sz w:val="21"/>
                <w:szCs w:val="21"/>
                <w:lang w:val="en-US" w:eastAsia="zh-CN" w:bidi="ar"/>
              </w:rPr>
              <w:t>估价对象附属物评估结果一览表</w:t>
            </w:r>
          </w:p>
        </w:tc>
      </w:tr>
      <w:tr>
        <w:tblPrEx>
          <w:tblCellMar>
            <w:top w:w="0" w:type="dxa"/>
            <w:left w:w="108" w:type="dxa"/>
            <w:bottom w:w="0" w:type="dxa"/>
            <w:right w:w="108" w:type="dxa"/>
          </w:tblCellMar>
        </w:tblPrEx>
        <w:trPr>
          <w:trHeight w:val="620" w:hRule="atLeast"/>
          <w:jc w:val="center"/>
        </w:trPr>
        <w:tc>
          <w:tcPr>
            <w:tcW w:w="97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bidi="ar"/>
              </w:rPr>
            </w:pPr>
            <w:r>
              <w:rPr>
                <w:rFonts w:hint="eastAsia" w:ascii="宋体" w:hAnsi="宋体" w:cs="宋体"/>
                <w:b/>
                <w:bCs/>
                <w:color w:val="auto"/>
                <w:kern w:val="0"/>
                <w:sz w:val="21"/>
                <w:szCs w:val="21"/>
                <w:lang w:bidi="ar"/>
              </w:rPr>
              <w:t>序号</w:t>
            </w:r>
          </w:p>
        </w:tc>
        <w:tc>
          <w:tcPr>
            <w:tcW w:w="168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bidi="ar"/>
              </w:rPr>
            </w:pPr>
            <w:r>
              <w:rPr>
                <w:rFonts w:hint="eastAsia" w:ascii="宋体" w:hAnsi="宋体" w:cs="宋体"/>
                <w:b/>
                <w:bCs/>
                <w:color w:val="auto"/>
                <w:kern w:val="0"/>
                <w:sz w:val="21"/>
                <w:szCs w:val="21"/>
                <w:lang w:bidi="ar"/>
              </w:rPr>
              <w:t>名称</w:t>
            </w:r>
          </w:p>
        </w:tc>
        <w:tc>
          <w:tcPr>
            <w:tcW w:w="109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bidi="ar"/>
              </w:rPr>
            </w:pPr>
            <w:r>
              <w:rPr>
                <w:rFonts w:hint="eastAsia" w:ascii="宋体" w:hAnsi="宋体" w:cs="宋体"/>
                <w:b/>
                <w:bCs/>
                <w:color w:val="auto"/>
                <w:kern w:val="0"/>
                <w:sz w:val="21"/>
                <w:szCs w:val="21"/>
                <w:lang w:bidi="ar"/>
              </w:rPr>
              <w:t>数量</w:t>
            </w:r>
          </w:p>
        </w:tc>
        <w:tc>
          <w:tcPr>
            <w:tcW w:w="118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bidi="ar"/>
              </w:rPr>
            </w:pPr>
            <w:r>
              <w:rPr>
                <w:rFonts w:hint="eastAsia" w:ascii="宋体" w:hAnsi="宋体" w:cs="宋体"/>
                <w:b/>
                <w:bCs/>
                <w:color w:val="auto"/>
                <w:kern w:val="0"/>
                <w:sz w:val="21"/>
                <w:szCs w:val="21"/>
                <w:lang w:bidi="ar"/>
              </w:rPr>
              <w:t>单位</w:t>
            </w:r>
          </w:p>
        </w:tc>
        <w:tc>
          <w:tcPr>
            <w:tcW w:w="135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bidi="ar"/>
              </w:rPr>
            </w:pPr>
            <w:r>
              <w:rPr>
                <w:rFonts w:hint="eastAsia" w:ascii="宋体" w:hAnsi="宋体" w:cs="宋体"/>
                <w:b/>
                <w:bCs/>
                <w:color w:val="auto"/>
                <w:kern w:val="0"/>
                <w:sz w:val="21"/>
                <w:szCs w:val="21"/>
                <w:lang w:bidi="ar"/>
              </w:rPr>
              <w:t>结构</w:t>
            </w:r>
          </w:p>
        </w:tc>
        <w:tc>
          <w:tcPr>
            <w:tcW w:w="149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eastAsia="zh-CN" w:bidi="ar"/>
              </w:rPr>
            </w:pPr>
            <w:r>
              <w:rPr>
                <w:rFonts w:hint="eastAsia" w:ascii="宋体" w:hAnsi="宋体" w:cs="宋体"/>
                <w:b/>
                <w:bCs/>
                <w:color w:val="auto"/>
                <w:kern w:val="0"/>
                <w:sz w:val="21"/>
                <w:szCs w:val="21"/>
                <w:lang w:bidi="ar"/>
              </w:rPr>
              <w:t>评估单价</w:t>
            </w:r>
            <w:r>
              <w:rPr>
                <w:rFonts w:hint="eastAsia" w:ascii="宋体" w:hAnsi="宋体" w:cs="宋体"/>
                <w:b/>
                <w:bCs/>
                <w:color w:val="auto"/>
                <w:kern w:val="0"/>
                <w:sz w:val="21"/>
                <w:szCs w:val="21"/>
                <w:lang w:eastAsia="zh-CN" w:bidi="ar"/>
              </w:rPr>
              <w:t>（</w:t>
            </w:r>
            <w:r>
              <w:rPr>
                <w:rFonts w:hint="eastAsia" w:ascii="宋体" w:hAnsi="宋体" w:cs="宋体"/>
                <w:b/>
                <w:bCs/>
                <w:color w:val="auto"/>
                <w:kern w:val="0"/>
                <w:sz w:val="21"/>
                <w:szCs w:val="21"/>
                <w:lang w:val="en-US" w:eastAsia="zh-CN" w:bidi="ar"/>
              </w:rPr>
              <w:t>元</w:t>
            </w:r>
            <w:r>
              <w:rPr>
                <w:rFonts w:hint="eastAsia" w:ascii="宋体" w:hAnsi="宋体" w:cs="宋体"/>
                <w:b/>
                <w:bCs/>
                <w:color w:val="auto"/>
                <w:kern w:val="0"/>
                <w:sz w:val="21"/>
                <w:szCs w:val="21"/>
                <w:lang w:eastAsia="zh-CN" w:bidi="ar"/>
              </w:rPr>
              <w:t>）</w:t>
            </w:r>
          </w:p>
        </w:tc>
        <w:tc>
          <w:tcPr>
            <w:tcW w:w="157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bidi="ar"/>
              </w:rPr>
            </w:pPr>
            <w:r>
              <w:rPr>
                <w:rFonts w:hint="eastAsia" w:ascii="宋体" w:hAnsi="宋体" w:cs="宋体"/>
                <w:b/>
                <w:bCs/>
                <w:color w:val="auto"/>
                <w:kern w:val="0"/>
                <w:sz w:val="21"/>
                <w:szCs w:val="21"/>
                <w:lang w:bidi="ar"/>
              </w:rPr>
              <w:t>总价（元）</w:t>
            </w:r>
          </w:p>
        </w:tc>
      </w:tr>
      <w:tr>
        <w:tblPrEx>
          <w:tblCellMar>
            <w:top w:w="0" w:type="dxa"/>
            <w:left w:w="108" w:type="dxa"/>
            <w:bottom w:w="0" w:type="dxa"/>
            <w:right w:w="108" w:type="dxa"/>
          </w:tblCellMar>
        </w:tblPrEx>
        <w:trPr>
          <w:trHeight w:val="792" w:hRule="atLeast"/>
          <w:jc w:val="center"/>
        </w:trPr>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1</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北门门卫左侧房屋</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21.2</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平方米</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砖混</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bidi="ar"/>
              </w:rPr>
            </w:pPr>
            <w:r>
              <w:rPr>
                <w:rFonts w:hint="eastAsia" w:ascii="宋体" w:hAnsi="宋体" w:eastAsia="宋体" w:cs="宋体"/>
                <w:i w:val="0"/>
                <w:iCs w:val="0"/>
                <w:color w:val="000000"/>
                <w:spacing w:val="10"/>
                <w:kern w:val="0"/>
                <w:sz w:val="21"/>
                <w:szCs w:val="21"/>
                <w:u w:val="none"/>
                <w:lang w:val="en-US" w:eastAsia="zh-CN" w:bidi="ar"/>
              </w:rPr>
              <w:t>980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bidi="ar"/>
              </w:rPr>
            </w:pPr>
            <w:r>
              <w:rPr>
                <w:rFonts w:hint="eastAsia" w:ascii="宋体" w:hAnsi="宋体" w:eastAsia="宋体" w:cs="宋体"/>
                <w:i w:val="0"/>
                <w:iCs w:val="0"/>
                <w:color w:val="000000"/>
                <w:spacing w:val="10"/>
                <w:kern w:val="0"/>
                <w:sz w:val="21"/>
                <w:szCs w:val="21"/>
                <w:u w:val="none"/>
                <w:lang w:val="en-US" w:eastAsia="zh-CN" w:bidi="ar"/>
              </w:rPr>
              <w:t>20776</w:t>
            </w:r>
          </w:p>
        </w:tc>
      </w:tr>
      <w:tr>
        <w:tblPrEx>
          <w:tblCellMar>
            <w:top w:w="0" w:type="dxa"/>
            <w:left w:w="108" w:type="dxa"/>
            <w:bottom w:w="0" w:type="dxa"/>
            <w:right w:w="108" w:type="dxa"/>
          </w:tblCellMar>
        </w:tblPrEx>
        <w:trPr>
          <w:trHeight w:val="628" w:hRule="atLeast"/>
          <w:jc w:val="center"/>
        </w:trPr>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2</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南侧配电房</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20.2</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平方米</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砖混</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bidi="ar"/>
              </w:rPr>
            </w:pPr>
            <w:r>
              <w:rPr>
                <w:rFonts w:hint="eastAsia" w:ascii="宋体" w:hAnsi="宋体" w:eastAsia="宋体" w:cs="宋体"/>
                <w:i w:val="0"/>
                <w:iCs w:val="0"/>
                <w:color w:val="000000"/>
                <w:spacing w:val="10"/>
                <w:kern w:val="0"/>
                <w:sz w:val="21"/>
                <w:szCs w:val="21"/>
                <w:u w:val="none"/>
                <w:lang w:val="en-US" w:eastAsia="zh-CN" w:bidi="ar"/>
              </w:rPr>
              <w:t>1120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bidi="ar"/>
              </w:rPr>
            </w:pPr>
            <w:r>
              <w:rPr>
                <w:rFonts w:hint="eastAsia" w:ascii="宋体" w:hAnsi="宋体" w:eastAsia="宋体" w:cs="宋体"/>
                <w:i w:val="0"/>
                <w:iCs w:val="0"/>
                <w:color w:val="000000"/>
                <w:spacing w:val="10"/>
                <w:kern w:val="0"/>
                <w:sz w:val="21"/>
                <w:szCs w:val="21"/>
                <w:u w:val="none"/>
                <w:lang w:val="en-US" w:eastAsia="zh-CN" w:bidi="ar"/>
              </w:rPr>
              <w:t>22624</w:t>
            </w:r>
          </w:p>
        </w:tc>
      </w:tr>
      <w:tr>
        <w:tblPrEx>
          <w:tblCellMar>
            <w:top w:w="0" w:type="dxa"/>
            <w:left w:w="108" w:type="dxa"/>
            <w:bottom w:w="0" w:type="dxa"/>
            <w:right w:w="108" w:type="dxa"/>
          </w:tblCellMar>
        </w:tblPrEx>
        <w:trPr>
          <w:trHeight w:val="628" w:hRule="atLeast"/>
          <w:jc w:val="center"/>
        </w:trPr>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3</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东南角厕所</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33</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平方米</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砖混</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980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32340</w:t>
            </w:r>
          </w:p>
        </w:tc>
      </w:tr>
      <w:tr>
        <w:tblPrEx>
          <w:tblCellMar>
            <w:top w:w="0" w:type="dxa"/>
            <w:left w:w="108" w:type="dxa"/>
            <w:bottom w:w="0" w:type="dxa"/>
            <w:right w:w="108" w:type="dxa"/>
          </w:tblCellMar>
        </w:tblPrEx>
        <w:trPr>
          <w:trHeight w:val="929" w:hRule="atLeast"/>
          <w:jc w:val="center"/>
        </w:trPr>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4</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东南角厕所边混合房</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21</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平方米</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砖混</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700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eastAsia="zh-CN" w:bidi="ar"/>
              </w:rPr>
            </w:pPr>
            <w:r>
              <w:rPr>
                <w:rFonts w:hint="eastAsia" w:ascii="宋体" w:hAnsi="宋体" w:eastAsia="宋体" w:cs="宋体"/>
                <w:i w:val="0"/>
                <w:iCs w:val="0"/>
                <w:color w:val="000000"/>
                <w:spacing w:val="10"/>
                <w:kern w:val="0"/>
                <w:sz w:val="21"/>
                <w:szCs w:val="21"/>
                <w:u w:val="none"/>
                <w:lang w:val="en-US" w:eastAsia="zh-CN" w:bidi="ar"/>
              </w:rPr>
              <w:t>14700</w:t>
            </w:r>
          </w:p>
        </w:tc>
      </w:tr>
      <w:tr>
        <w:tblPrEx>
          <w:tblCellMar>
            <w:top w:w="0" w:type="dxa"/>
            <w:left w:w="108" w:type="dxa"/>
            <w:bottom w:w="0" w:type="dxa"/>
            <w:right w:w="108" w:type="dxa"/>
          </w:tblCellMar>
        </w:tblPrEx>
        <w:trPr>
          <w:trHeight w:val="401" w:hRule="atLeast"/>
          <w:jc w:val="center"/>
        </w:trPr>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5</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变压器房</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ascii="宋体" w:hAnsi="宋体" w:cs="宋体"/>
                <w:color w:val="auto"/>
                <w:kern w:val="0"/>
                <w:sz w:val="21"/>
                <w:szCs w:val="21"/>
                <w:lang w:val="en-US" w:bidi="ar"/>
              </w:rPr>
            </w:pPr>
            <w:r>
              <w:rPr>
                <w:rFonts w:hint="eastAsia" w:cs="宋体" w:asciiTheme="minorEastAsia" w:hAnsiTheme="minorEastAsia" w:eastAsiaTheme="minorEastAsia"/>
                <w:color w:val="auto"/>
                <w:sz w:val="21"/>
                <w:szCs w:val="21"/>
                <w:lang w:val="en-US" w:eastAsia="zh-CN"/>
              </w:rPr>
              <w:t>12.3</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平方米</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砖混</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1120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13776</w:t>
            </w:r>
          </w:p>
        </w:tc>
      </w:tr>
      <w:tr>
        <w:tblPrEx>
          <w:tblCellMar>
            <w:top w:w="0" w:type="dxa"/>
            <w:left w:w="108" w:type="dxa"/>
            <w:bottom w:w="0" w:type="dxa"/>
            <w:right w:w="108" w:type="dxa"/>
          </w:tblCellMar>
        </w:tblPrEx>
        <w:trPr>
          <w:trHeight w:val="401" w:hRule="atLeast"/>
          <w:jc w:val="center"/>
        </w:trPr>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6</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彩钢瓦房</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48</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平方米</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彩钢瓦</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240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11520</w:t>
            </w:r>
          </w:p>
        </w:tc>
      </w:tr>
      <w:tr>
        <w:tblPrEx>
          <w:tblCellMar>
            <w:top w:w="0" w:type="dxa"/>
            <w:left w:w="108" w:type="dxa"/>
            <w:bottom w:w="0" w:type="dxa"/>
            <w:right w:w="108" w:type="dxa"/>
          </w:tblCellMar>
        </w:tblPrEx>
        <w:trPr>
          <w:trHeight w:val="401" w:hRule="atLeast"/>
          <w:jc w:val="center"/>
        </w:trPr>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7</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水泥地坪</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3762</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平方米</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72</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270864</w:t>
            </w:r>
          </w:p>
        </w:tc>
      </w:tr>
      <w:tr>
        <w:tblPrEx>
          <w:tblCellMar>
            <w:top w:w="0" w:type="dxa"/>
            <w:left w:w="108" w:type="dxa"/>
            <w:bottom w:w="0" w:type="dxa"/>
            <w:right w:w="108" w:type="dxa"/>
          </w:tblCellMar>
        </w:tblPrEx>
        <w:trPr>
          <w:trHeight w:val="401" w:hRule="atLeast"/>
          <w:jc w:val="center"/>
        </w:trPr>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8</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碎石基础</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600</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平方米</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26</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15600</w:t>
            </w:r>
          </w:p>
        </w:tc>
      </w:tr>
      <w:tr>
        <w:tblPrEx>
          <w:tblCellMar>
            <w:top w:w="0" w:type="dxa"/>
            <w:left w:w="108" w:type="dxa"/>
            <w:bottom w:w="0" w:type="dxa"/>
            <w:right w:w="108" w:type="dxa"/>
          </w:tblCellMar>
        </w:tblPrEx>
        <w:trPr>
          <w:trHeight w:val="401" w:hRule="atLeast"/>
          <w:jc w:val="center"/>
        </w:trPr>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9</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砖混围墙</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12</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米</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490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5880</w:t>
            </w:r>
          </w:p>
        </w:tc>
      </w:tr>
      <w:tr>
        <w:tblPrEx>
          <w:tblCellMar>
            <w:top w:w="0" w:type="dxa"/>
            <w:left w:w="108" w:type="dxa"/>
            <w:bottom w:w="0" w:type="dxa"/>
            <w:right w:w="108" w:type="dxa"/>
          </w:tblCellMar>
        </w:tblPrEx>
        <w:trPr>
          <w:trHeight w:val="401" w:hRule="atLeast"/>
          <w:jc w:val="center"/>
        </w:trPr>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10</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砖混围墙</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267.2</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米</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469</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125317</w:t>
            </w:r>
          </w:p>
        </w:tc>
      </w:tr>
      <w:tr>
        <w:tblPrEx>
          <w:tblCellMar>
            <w:top w:w="0" w:type="dxa"/>
            <w:left w:w="108" w:type="dxa"/>
            <w:bottom w:w="0" w:type="dxa"/>
            <w:right w:w="108" w:type="dxa"/>
          </w:tblCellMar>
        </w:tblPrEx>
        <w:trPr>
          <w:trHeight w:val="401" w:hRule="atLeast"/>
          <w:jc w:val="center"/>
        </w:trPr>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11</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铁艺围墙</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17</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米</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117</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1989</w:t>
            </w:r>
          </w:p>
        </w:tc>
      </w:tr>
      <w:tr>
        <w:tblPrEx>
          <w:tblCellMar>
            <w:top w:w="0" w:type="dxa"/>
            <w:left w:w="108" w:type="dxa"/>
            <w:bottom w:w="0" w:type="dxa"/>
            <w:right w:w="108" w:type="dxa"/>
          </w:tblCellMar>
        </w:tblPrEx>
        <w:trPr>
          <w:trHeight w:val="401" w:hRule="atLeast"/>
          <w:jc w:val="center"/>
        </w:trPr>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12</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围墙</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154</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米</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315</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48510</w:t>
            </w:r>
          </w:p>
        </w:tc>
      </w:tr>
      <w:tr>
        <w:tblPrEx>
          <w:tblCellMar>
            <w:top w:w="0" w:type="dxa"/>
            <w:left w:w="108" w:type="dxa"/>
            <w:bottom w:w="0" w:type="dxa"/>
            <w:right w:w="108" w:type="dxa"/>
          </w:tblCellMar>
        </w:tblPrEx>
        <w:trPr>
          <w:trHeight w:val="628" w:hRule="atLeast"/>
          <w:jc w:val="center"/>
        </w:trPr>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13</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铁丝网围挡</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27</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米</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11</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297</w:t>
            </w:r>
          </w:p>
        </w:tc>
      </w:tr>
      <w:tr>
        <w:tblPrEx>
          <w:tblCellMar>
            <w:top w:w="0" w:type="dxa"/>
            <w:left w:w="108" w:type="dxa"/>
            <w:bottom w:w="0" w:type="dxa"/>
            <w:right w:w="108" w:type="dxa"/>
          </w:tblCellMar>
        </w:tblPrEx>
        <w:trPr>
          <w:trHeight w:val="753" w:hRule="atLeast"/>
          <w:jc w:val="center"/>
        </w:trPr>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14</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北门造型门楼</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座</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default" w:ascii="宋体" w:hAnsi="宋体" w:cs="宋体"/>
                <w:color w:val="auto"/>
                <w:kern w:val="0"/>
                <w:sz w:val="21"/>
                <w:szCs w:val="21"/>
                <w:lang w:val="en-US" w:eastAsia="zh-CN" w:bidi="ar"/>
              </w:rPr>
            </w:pPr>
            <w:r>
              <w:rPr>
                <w:rFonts w:hint="eastAsia" w:ascii="宋体" w:hAnsi="宋体" w:cs="宋体"/>
                <w:color w:val="auto"/>
                <w:kern w:val="0"/>
                <w:sz w:val="21"/>
                <w:szCs w:val="21"/>
                <w:lang w:val="en-US" w:eastAsia="zh-CN" w:bidi="ar"/>
              </w:rPr>
              <w:t>70000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70000</w:t>
            </w:r>
          </w:p>
        </w:tc>
      </w:tr>
      <w:tr>
        <w:tblPrEx>
          <w:tblCellMar>
            <w:top w:w="0" w:type="dxa"/>
            <w:left w:w="108" w:type="dxa"/>
            <w:bottom w:w="0" w:type="dxa"/>
            <w:right w:w="108" w:type="dxa"/>
          </w:tblCellMar>
        </w:tblPrEx>
        <w:trPr>
          <w:trHeight w:val="753" w:hRule="atLeast"/>
          <w:jc w:val="center"/>
        </w:trPr>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15</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西门造型门楼</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座</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default" w:ascii="宋体" w:hAnsi="宋体" w:cs="宋体"/>
                <w:color w:val="auto"/>
                <w:kern w:val="0"/>
                <w:sz w:val="21"/>
                <w:szCs w:val="21"/>
                <w:lang w:val="en-US" w:eastAsia="zh-CN" w:bidi="ar"/>
              </w:rPr>
            </w:pPr>
            <w:r>
              <w:rPr>
                <w:rFonts w:hint="eastAsia" w:ascii="宋体" w:hAnsi="宋体" w:cs="宋体"/>
                <w:color w:val="auto"/>
                <w:kern w:val="0"/>
                <w:sz w:val="21"/>
                <w:szCs w:val="21"/>
                <w:lang w:val="en-US" w:eastAsia="zh-CN" w:bidi="ar"/>
              </w:rPr>
              <w:t>28000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28000</w:t>
            </w:r>
          </w:p>
        </w:tc>
      </w:tr>
      <w:tr>
        <w:tblPrEx>
          <w:tblCellMar>
            <w:top w:w="0" w:type="dxa"/>
            <w:left w:w="108" w:type="dxa"/>
            <w:bottom w:w="0" w:type="dxa"/>
            <w:right w:w="108" w:type="dxa"/>
          </w:tblCellMar>
        </w:tblPrEx>
        <w:trPr>
          <w:trHeight w:val="356" w:hRule="atLeast"/>
          <w:jc w:val="center"/>
        </w:trPr>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color w:val="auto"/>
                <w:kern w:val="0"/>
                <w:sz w:val="21"/>
                <w:szCs w:val="21"/>
                <w:lang w:bidi="ar"/>
              </w:rPr>
            </w:pPr>
            <w:r>
              <w:rPr>
                <w:rFonts w:hint="eastAsia" w:ascii="宋体" w:hAnsi="宋体" w:cs="宋体"/>
                <w:color w:val="auto"/>
                <w:kern w:val="0"/>
                <w:sz w:val="21"/>
                <w:szCs w:val="21"/>
                <w:lang w:bidi="ar"/>
              </w:rPr>
              <w:t>合计</w:t>
            </w:r>
          </w:p>
        </w:tc>
        <w:tc>
          <w:tcPr>
            <w:tcW w:w="1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color w:val="auto"/>
                <w:kern w:val="0"/>
                <w:sz w:val="21"/>
                <w:szCs w:val="21"/>
                <w:lang w:bidi="ar"/>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color w:val="auto"/>
                <w:kern w:val="0"/>
                <w:sz w:val="21"/>
                <w:szCs w:val="21"/>
                <w:lang w:bidi="ar"/>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color w:val="auto"/>
                <w:kern w:val="0"/>
                <w:sz w:val="21"/>
                <w:szCs w:val="21"/>
                <w:lang w:bidi="ar"/>
              </w:rPr>
            </w:pP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color w:val="auto"/>
                <w:kern w:val="0"/>
                <w:sz w:val="21"/>
                <w:szCs w:val="21"/>
                <w:lang w:bidi="ar"/>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color w:val="auto"/>
                <w:kern w:val="0"/>
                <w:sz w:val="21"/>
                <w:szCs w:val="21"/>
                <w:lang w:bidi="ar"/>
              </w:rPr>
            </w:pP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default" w:ascii="宋体" w:hAnsi="宋体" w:cs="宋体"/>
                <w:color w:val="auto"/>
                <w:kern w:val="0"/>
                <w:sz w:val="21"/>
                <w:szCs w:val="21"/>
                <w:lang w:val="en-US" w:eastAsia="zh-CN" w:bidi="ar"/>
              </w:rPr>
            </w:pPr>
            <w:r>
              <w:rPr>
                <w:rFonts w:hint="eastAsia" w:ascii="宋体" w:hAnsi="宋体" w:cs="宋体"/>
                <w:color w:val="auto"/>
                <w:kern w:val="0"/>
                <w:sz w:val="21"/>
                <w:szCs w:val="21"/>
                <w:lang w:val="en-US" w:eastAsia="zh-CN" w:bidi="ar"/>
              </w:rPr>
              <w:t>682193</w:t>
            </w:r>
          </w:p>
        </w:tc>
      </w:tr>
    </w:tbl>
    <w:p>
      <w:pPr>
        <w:pStyle w:val="8"/>
        <w:shd w:val="clear"/>
        <w:snapToGrid w:val="0"/>
        <w:spacing w:line="500" w:lineRule="exact"/>
        <w:ind w:left="0"/>
        <w:rPr>
          <w:rFonts w:asciiTheme="minorEastAsia" w:hAnsiTheme="minorEastAsia" w:eastAsiaTheme="minorEastAsia"/>
          <w:b/>
          <w:color w:val="auto"/>
          <w:sz w:val="24"/>
          <w:szCs w:val="24"/>
        </w:rPr>
      </w:pPr>
    </w:p>
    <w:tbl>
      <w:tblPr>
        <w:tblStyle w:val="18"/>
        <w:tblW w:w="9280" w:type="dxa"/>
        <w:jc w:val="center"/>
        <w:tblLayout w:type="fixed"/>
        <w:tblCellMar>
          <w:top w:w="0" w:type="dxa"/>
          <w:left w:w="108" w:type="dxa"/>
          <w:bottom w:w="0" w:type="dxa"/>
          <w:right w:w="108" w:type="dxa"/>
        </w:tblCellMar>
      </w:tblPr>
      <w:tblGrid>
        <w:gridCol w:w="902"/>
        <w:gridCol w:w="1390"/>
        <w:gridCol w:w="1002"/>
        <w:gridCol w:w="873"/>
        <w:gridCol w:w="1274"/>
        <w:gridCol w:w="944"/>
        <w:gridCol w:w="1503"/>
        <w:gridCol w:w="1392"/>
      </w:tblGrid>
      <w:tr>
        <w:tblPrEx>
          <w:tblCellMar>
            <w:top w:w="0" w:type="dxa"/>
            <w:left w:w="108" w:type="dxa"/>
            <w:bottom w:w="0" w:type="dxa"/>
            <w:right w:w="108" w:type="dxa"/>
          </w:tblCellMar>
        </w:tblPrEx>
        <w:trPr>
          <w:trHeight w:val="354" w:hRule="atLeast"/>
          <w:tblHeader/>
          <w:jc w:val="center"/>
        </w:trPr>
        <w:tc>
          <w:tcPr>
            <w:tcW w:w="9280" w:type="dxa"/>
            <w:gridSpan w:val="8"/>
            <w:tcBorders>
              <w:top w:val="nil"/>
              <w:left w:val="nil"/>
              <w:bottom w:val="single" w:color="auto" w:sz="4" w:space="0"/>
              <w:right w:val="nil"/>
            </w:tcBorders>
            <w:shd w:val="clear" w:color="auto" w:fill="auto"/>
            <w:noWrap/>
            <w:vAlign w:val="center"/>
          </w:tcPr>
          <w:p>
            <w:pPr>
              <w:shd w:val="clear"/>
              <w:spacing w:line="330" w:lineRule="exact"/>
              <w:ind w:firstLine="316" w:firstLineChars="150"/>
              <w:jc w:val="center"/>
              <w:rPr>
                <w:rFonts w:hint="eastAsia" w:ascii="宋体" w:hAnsi="宋体" w:cs="宋体" w:eastAsiaTheme="minorEastAsia"/>
                <w:b/>
                <w:bCs/>
                <w:color w:val="auto"/>
                <w:kern w:val="0"/>
                <w:sz w:val="21"/>
                <w:szCs w:val="21"/>
                <w:lang w:eastAsia="zh-CN" w:bidi="ar"/>
              </w:rPr>
            </w:pPr>
            <w:r>
              <w:rPr>
                <w:rFonts w:hint="eastAsia" w:asciiTheme="minorEastAsia" w:hAnsiTheme="minorEastAsia" w:eastAsiaTheme="minorEastAsia"/>
                <w:b/>
                <w:bCs/>
                <w:color w:val="auto"/>
                <w:spacing w:val="0"/>
                <w:sz w:val="21"/>
                <w:szCs w:val="21"/>
              </w:rPr>
              <w:t>估价对象</w:t>
            </w:r>
            <w:r>
              <w:rPr>
                <w:rFonts w:hint="eastAsia" w:asciiTheme="minorEastAsia" w:hAnsiTheme="minorEastAsia" w:eastAsiaTheme="minorEastAsia"/>
                <w:b/>
                <w:bCs/>
                <w:color w:val="auto"/>
                <w:spacing w:val="0"/>
                <w:sz w:val="21"/>
                <w:szCs w:val="21"/>
                <w:lang w:eastAsia="zh-CN"/>
              </w:rPr>
              <w:t>绿化苗木</w:t>
            </w:r>
            <w:r>
              <w:rPr>
                <w:rFonts w:hint="eastAsia" w:ascii="宋体" w:hAnsi="宋体" w:cs="宋体"/>
                <w:b/>
                <w:bCs/>
                <w:color w:val="auto"/>
                <w:kern w:val="0"/>
                <w:sz w:val="21"/>
                <w:szCs w:val="21"/>
                <w:lang w:val="en-US" w:eastAsia="zh-CN" w:bidi="ar"/>
              </w:rPr>
              <w:t>评估结果</w:t>
            </w:r>
            <w:r>
              <w:rPr>
                <w:rFonts w:hint="eastAsia" w:asciiTheme="minorEastAsia" w:hAnsiTheme="minorEastAsia" w:eastAsiaTheme="minorEastAsia"/>
                <w:b/>
                <w:bCs/>
                <w:color w:val="auto"/>
                <w:spacing w:val="0"/>
                <w:sz w:val="21"/>
                <w:szCs w:val="21"/>
                <w:lang w:eastAsia="zh-CN"/>
              </w:rPr>
              <w:t>一览表</w:t>
            </w:r>
          </w:p>
        </w:tc>
      </w:tr>
      <w:tr>
        <w:tblPrEx>
          <w:tblCellMar>
            <w:top w:w="0" w:type="dxa"/>
            <w:left w:w="108" w:type="dxa"/>
            <w:bottom w:w="0" w:type="dxa"/>
            <w:right w:w="108" w:type="dxa"/>
          </w:tblCellMar>
        </w:tblPrEx>
        <w:trPr>
          <w:trHeight w:val="639" w:hRule="atLeast"/>
          <w:tblHeader/>
          <w:jc w:val="center"/>
        </w:trPr>
        <w:tc>
          <w:tcPr>
            <w:tcW w:w="90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序号</w:t>
            </w:r>
          </w:p>
        </w:tc>
        <w:tc>
          <w:tcPr>
            <w:tcW w:w="139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名称</w:t>
            </w:r>
          </w:p>
        </w:tc>
        <w:tc>
          <w:tcPr>
            <w:tcW w:w="100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数量</w:t>
            </w:r>
          </w:p>
        </w:tc>
        <w:tc>
          <w:tcPr>
            <w:tcW w:w="87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单位</w:t>
            </w:r>
          </w:p>
        </w:tc>
        <w:tc>
          <w:tcPr>
            <w:tcW w:w="127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eastAsia="宋体" w:cs="宋体"/>
                <w:b/>
                <w:bCs/>
                <w:color w:val="auto"/>
                <w:sz w:val="21"/>
                <w:szCs w:val="21"/>
                <w:lang w:eastAsia="zh-CN"/>
              </w:rPr>
            </w:pPr>
            <w:r>
              <w:rPr>
                <w:rFonts w:hint="eastAsia" w:ascii="宋体" w:hAnsi="宋体" w:cs="宋体"/>
                <w:b/>
                <w:bCs/>
                <w:color w:val="auto"/>
                <w:kern w:val="0"/>
                <w:sz w:val="21"/>
                <w:szCs w:val="21"/>
                <w:lang w:eastAsia="zh-CN" w:bidi="ar"/>
              </w:rPr>
              <w:t>米径（</w:t>
            </w:r>
            <w:r>
              <w:rPr>
                <w:rFonts w:hint="eastAsia" w:ascii="宋体" w:hAnsi="宋体" w:cs="宋体"/>
                <w:b/>
                <w:bCs/>
                <w:color w:val="auto"/>
                <w:kern w:val="0"/>
                <w:sz w:val="21"/>
                <w:szCs w:val="21"/>
                <w:lang w:val="en-US" w:eastAsia="zh-CN" w:bidi="ar"/>
              </w:rPr>
              <w:t>cm</w:t>
            </w:r>
            <w:r>
              <w:rPr>
                <w:rFonts w:hint="eastAsia" w:ascii="宋体" w:hAnsi="宋体" w:cs="宋体"/>
                <w:b/>
                <w:bCs/>
                <w:color w:val="auto"/>
                <w:kern w:val="0"/>
                <w:sz w:val="21"/>
                <w:szCs w:val="21"/>
                <w:lang w:eastAsia="zh-CN" w:bidi="ar"/>
              </w:rPr>
              <w:t>）</w:t>
            </w:r>
          </w:p>
        </w:tc>
        <w:tc>
          <w:tcPr>
            <w:tcW w:w="94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备注</w:t>
            </w:r>
          </w:p>
        </w:tc>
        <w:tc>
          <w:tcPr>
            <w:tcW w:w="150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default" w:ascii="宋体" w:hAnsi="宋体" w:eastAsia="宋体" w:cs="宋体"/>
                <w:b/>
                <w:bCs/>
                <w:color w:val="auto"/>
                <w:kern w:val="0"/>
                <w:sz w:val="21"/>
                <w:szCs w:val="21"/>
                <w:lang w:val="en-US" w:eastAsia="zh-CN" w:bidi="ar"/>
              </w:rPr>
            </w:pPr>
            <w:r>
              <w:rPr>
                <w:rFonts w:hint="eastAsia" w:ascii="宋体" w:hAnsi="宋体" w:cs="宋体"/>
                <w:b/>
                <w:bCs/>
                <w:color w:val="auto"/>
                <w:kern w:val="0"/>
                <w:sz w:val="21"/>
                <w:szCs w:val="21"/>
                <w:lang w:val="en-US" w:eastAsia="zh-CN" w:bidi="ar"/>
              </w:rPr>
              <w:t>评估单价（元）</w:t>
            </w:r>
          </w:p>
        </w:tc>
        <w:tc>
          <w:tcPr>
            <w:tcW w:w="139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bidi="ar"/>
              </w:rPr>
            </w:pPr>
            <w:r>
              <w:rPr>
                <w:rFonts w:hint="eastAsia" w:ascii="宋体" w:hAnsi="宋体" w:cs="宋体"/>
                <w:b/>
                <w:bCs/>
                <w:color w:val="auto"/>
                <w:kern w:val="0"/>
                <w:sz w:val="21"/>
                <w:szCs w:val="21"/>
                <w:lang w:val="en-US" w:eastAsia="zh-CN" w:bidi="ar"/>
              </w:rPr>
              <w:t>评估总价（元）</w:t>
            </w:r>
          </w:p>
        </w:tc>
      </w:tr>
      <w:tr>
        <w:tblPrEx>
          <w:tblCellMar>
            <w:top w:w="0" w:type="dxa"/>
            <w:left w:w="108" w:type="dxa"/>
            <w:bottom w:w="0" w:type="dxa"/>
            <w:right w:w="108" w:type="dxa"/>
          </w:tblCellMar>
        </w:tblPrEx>
        <w:trPr>
          <w:trHeight w:val="444"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桂花树</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0-5</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多杆</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213</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1065</w:t>
            </w:r>
          </w:p>
        </w:tc>
      </w:tr>
      <w:tr>
        <w:tblPrEx>
          <w:tblCellMar>
            <w:top w:w="0" w:type="dxa"/>
            <w:left w:w="108" w:type="dxa"/>
            <w:bottom w:w="0" w:type="dxa"/>
            <w:right w:w="108" w:type="dxa"/>
          </w:tblCellMar>
        </w:tblPrEx>
        <w:trPr>
          <w:trHeight w:val="451"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桂花树</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5-10</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三杆</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340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340</w:t>
            </w:r>
          </w:p>
        </w:tc>
      </w:tr>
      <w:tr>
        <w:tblPrEx>
          <w:tblCellMar>
            <w:top w:w="0" w:type="dxa"/>
            <w:left w:w="108" w:type="dxa"/>
            <w:bottom w:w="0" w:type="dxa"/>
            <w:right w:w="108" w:type="dxa"/>
          </w:tblCellMar>
        </w:tblPrEx>
        <w:trPr>
          <w:trHeight w:val="451"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桂花树</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6 </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5-10</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420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2520</w:t>
            </w:r>
          </w:p>
        </w:tc>
      </w:tr>
      <w:tr>
        <w:tblPrEx>
          <w:tblCellMar>
            <w:top w:w="0" w:type="dxa"/>
            <w:left w:w="108" w:type="dxa"/>
            <w:bottom w:w="0" w:type="dxa"/>
            <w:right w:w="108" w:type="dxa"/>
          </w:tblCellMar>
        </w:tblPrEx>
        <w:trPr>
          <w:trHeight w:val="451"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4</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桂花树</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15-20</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多杆</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940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940</w:t>
            </w:r>
          </w:p>
        </w:tc>
      </w:tr>
      <w:tr>
        <w:tblPrEx>
          <w:tblCellMar>
            <w:top w:w="0" w:type="dxa"/>
            <w:left w:w="108" w:type="dxa"/>
            <w:bottom w:w="0" w:type="dxa"/>
            <w:right w:w="108" w:type="dxa"/>
          </w:tblCellMar>
        </w:tblPrEx>
        <w:trPr>
          <w:trHeight w:val="451"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桂花树</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10 </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多杆</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680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6800</w:t>
            </w:r>
          </w:p>
        </w:tc>
      </w:tr>
      <w:tr>
        <w:tblPrEx>
          <w:tblCellMar>
            <w:top w:w="0" w:type="dxa"/>
            <w:left w:w="108" w:type="dxa"/>
            <w:bottom w:w="0" w:type="dxa"/>
            <w:right w:w="108" w:type="dxa"/>
          </w:tblCellMar>
        </w:tblPrEx>
        <w:trPr>
          <w:trHeight w:val="451"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6</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广玉兰</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3 </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1030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3090</w:t>
            </w:r>
          </w:p>
        </w:tc>
      </w:tr>
      <w:tr>
        <w:tblPrEx>
          <w:tblCellMar>
            <w:top w:w="0" w:type="dxa"/>
            <w:left w:w="108" w:type="dxa"/>
            <w:bottom w:w="0" w:type="dxa"/>
            <w:right w:w="108" w:type="dxa"/>
          </w:tblCellMar>
        </w:tblPrEx>
        <w:trPr>
          <w:trHeight w:val="451"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7</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广玉兰</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20-25</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2500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2500</w:t>
            </w:r>
          </w:p>
        </w:tc>
      </w:tr>
      <w:tr>
        <w:tblPrEx>
          <w:tblCellMar>
            <w:top w:w="0" w:type="dxa"/>
            <w:left w:w="108" w:type="dxa"/>
            <w:bottom w:w="0" w:type="dxa"/>
            <w:right w:w="108" w:type="dxa"/>
          </w:tblCellMar>
        </w:tblPrEx>
        <w:trPr>
          <w:trHeight w:val="451"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8</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桑树</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700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700</w:t>
            </w:r>
          </w:p>
        </w:tc>
      </w:tr>
      <w:tr>
        <w:tblPrEx>
          <w:tblCellMar>
            <w:top w:w="0" w:type="dxa"/>
            <w:left w:w="108" w:type="dxa"/>
            <w:bottom w:w="0" w:type="dxa"/>
            <w:right w:w="108" w:type="dxa"/>
          </w:tblCellMar>
        </w:tblPrEx>
        <w:trPr>
          <w:trHeight w:val="451"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9</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桑树</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20-30</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三杆</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2000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2000</w:t>
            </w:r>
          </w:p>
        </w:tc>
      </w:tr>
      <w:tr>
        <w:tblPrEx>
          <w:tblCellMar>
            <w:top w:w="0" w:type="dxa"/>
            <w:left w:w="108" w:type="dxa"/>
            <w:bottom w:w="0" w:type="dxa"/>
            <w:right w:w="108" w:type="dxa"/>
          </w:tblCellMar>
        </w:tblPrEx>
        <w:trPr>
          <w:trHeight w:val="451"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紫薇</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5-10</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164</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164</w:t>
            </w:r>
          </w:p>
        </w:tc>
      </w:tr>
      <w:tr>
        <w:tblPrEx>
          <w:tblCellMar>
            <w:top w:w="0" w:type="dxa"/>
            <w:left w:w="108" w:type="dxa"/>
            <w:bottom w:w="0" w:type="dxa"/>
            <w:right w:w="108" w:type="dxa"/>
          </w:tblCellMar>
        </w:tblPrEx>
        <w:trPr>
          <w:trHeight w:val="451"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11</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紫薇</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1600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1600</w:t>
            </w:r>
          </w:p>
        </w:tc>
      </w:tr>
      <w:tr>
        <w:tblPrEx>
          <w:tblCellMar>
            <w:top w:w="0" w:type="dxa"/>
            <w:left w:w="108" w:type="dxa"/>
            <w:bottom w:w="0" w:type="dxa"/>
            <w:right w:w="108" w:type="dxa"/>
          </w:tblCellMar>
        </w:tblPrEx>
        <w:trPr>
          <w:trHeight w:val="451"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12</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棕榈树</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3 </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218</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654</w:t>
            </w:r>
          </w:p>
        </w:tc>
      </w:tr>
      <w:tr>
        <w:tblPrEx>
          <w:tblCellMar>
            <w:top w:w="0" w:type="dxa"/>
            <w:left w:w="108" w:type="dxa"/>
            <w:bottom w:w="0" w:type="dxa"/>
            <w:right w:w="108" w:type="dxa"/>
          </w:tblCellMar>
        </w:tblPrEx>
        <w:trPr>
          <w:trHeight w:val="451"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13</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棕榈树</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20-25</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436</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436</w:t>
            </w:r>
          </w:p>
        </w:tc>
      </w:tr>
      <w:tr>
        <w:tblPrEx>
          <w:tblCellMar>
            <w:top w:w="0" w:type="dxa"/>
            <w:left w:w="108" w:type="dxa"/>
            <w:bottom w:w="0" w:type="dxa"/>
            <w:right w:w="108" w:type="dxa"/>
          </w:tblCellMar>
        </w:tblPrEx>
        <w:trPr>
          <w:trHeight w:val="451"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14</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香樟</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0-5</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30</w:t>
            </w:r>
          </w:p>
        </w:tc>
      </w:tr>
      <w:tr>
        <w:tblPrEx>
          <w:tblCellMar>
            <w:top w:w="0" w:type="dxa"/>
            <w:left w:w="108" w:type="dxa"/>
            <w:bottom w:w="0" w:type="dxa"/>
            <w:right w:w="108" w:type="dxa"/>
          </w:tblCellMar>
        </w:tblPrEx>
        <w:trPr>
          <w:trHeight w:val="451"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15</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香樟</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1180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1180</w:t>
            </w:r>
          </w:p>
        </w:tc>
      </w:tr>
      <w:tr>
        <w:tblPrEx>
          <w:tblCellMar>
            <w:top w:w="0" w:type="dxa"/>
            <w:left w:w="108" w:type="dxa"/>
            <w:bottom w:w="0" w:type="dxa"/>
            <w:right w:w="108" w:type="dxa"/>
          </w:tblCellMar>
        </w:tblPrEx>
        <w:trPr>
          <w:trHeight w:val="451"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16</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香樟</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15-20</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1980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39600</w:t>
            </w:r>
          </w:p>
        </w:tc>
      </w:tr>
      <w:tr>
        <w:tblPrEx>
          <w:tblCellMar>
            <w:top w:w="0" w:type="dxa"/>
            <w:left w:w="108" w:type="dxa"/>
            <w:bottom w:w="0" w:type="dxa"/>
            <w:right w:w="108" w:type="dxa"/>
          </w:tblCellMar>
        </w:tblPrEx>
        <w:trPr>
          <w:trHeight w:val="451"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17</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香樟</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25-30</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3000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3000</w:t>
            </w:r>
          </w:p>
        </w:tc>
      </w:tr>
      <w:tr>
        <w:tblPrEx>
          <w:tblCellMar>
            <w:top w:w="0" w:type="dxa"/>
            <w:left w:w="108" w:type="dxa"/>
            <w:bottom w:w="0" w:type="dxa"/>
            <w:right w:w="108" w:type="dxa"/>
          </w:tblCellMar>
        </w:tblPrEx>
        <w:trPr>
          <w:trHeight w:val="451"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18</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香樟</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30-35</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4500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13500</w:t>
            </w:r>
          </w:p>
        </w:tc>
      </w:tr>
      <w:tr>
        <w:tblPrEx>
          <w:tblCellMar>
            <w:top w:w="0" w:type="dxa"/>
            <w:left w:w="108" w:type="dxa"/>
            <w:bottom w:w="0" w:type="dxa"/>
            <w:right w:w="108" w:type="dxa"/>
          </w:tblCellMar>
        </w:tblPrEx>
        <w:trPr>
          <w:trHeight w:val="803"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19</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绿化带</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190</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平方米</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150</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28500</w:t>
            </w:r>
          </w:p>
        </w:tc>
      </w:tr>
      <w:tr>
        <w:tblPrEx>
          <w:tblCellMar>
            <w:top w:w="0" w:type="dxa"/>
            <w:left w:w="108" w:type="dxa"/>
            <w:bottom w:w="0" w:type="dxa"/>
            <w:right w:w="108" w:type="dxa"/>
          </w:tblCellMar>
        </w:tblPrEx>
        <w:trPr>
          <w:trHeight w:val="471" w:hRule="atLeast"/>
          <w:jc w:val="center"/>
        </w:trPr>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合计</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108619</w:t>
            </w:r>
          </w:p>
        </w:tc>
      </w:tr>
    </w:tbl>
    <w:p>
      <w:pPr>
        <w:pStyle w:val="8"/>
        <w:shd w:val="clear"/>
        <w:snapToGrid w:val="0"/>
        <w:spacing w:line="500" w:lineRule="exact"/>
        <w:ind w:left="0"/>
        <w:rPr>
          <w:rFonts w:asciiTheme="minorEastAsia" w:hAnsiTheme="minorEastAsia" w:eastAsiaTheme="minorEastAsia"/>
          <w:b/>
          <w:color w:val="auto"/>
          <w:sz w:val="24"/>
          <w:szCs w:val="24"/>
        </w:rPr>
      </w:pPr>
    </w:p>
    <w:tbl>
      <w:tblPr>
        <w:tblStyle w:val="18"/>
        <w:tblW w:w="9300" w:type="dxa"/>
        <w:jc w:val="center"/>
        <w:tblLayout w:type="fixed"/>
        <w:tblCellMar>
          <w:top w:w="0" w:type="dxa"/>
          <w:left w:w="108" w:type="dxa"/>
          <w:bottom w:w="0" w:type="dxa"/>
          <w:right w:w="108" w:type="dxa"/>
        </w:tblCellMar>
      </w:tblPr>
      <w:tblGrid>
        <w:gridCol w:w="930"/>
        <w:gridCol w:w="1383"/>
        <w:gridCol w:w="997"/>
        <w:gridCol w:w="1349"/>
        <w:gridCol w:w="1669"/>
        <w:gridCol w:w="1540"/>
        <w:gridCol w:w="1432"/>
      </w:tblGrid>
      <w:tr>
        <w:tblPrEx>
          <w:tblCellMar>
            <w:top w:w="0" w:type="dxa"/>
            <w:left w:w="108" w:type="dxa"/>
            <w:bottom w:w="0" w:type="dxa"/>
            <w:right w:w="108" w:type="dxa"/>
          </w:tblCellMar>
        </w:tblPrEx>
        <w:trPr>
          <w:trHeight w:val="317" w:hRule="atLeast"/>
          <w:jc w:val="center"/>
        </w:trPr>
        <w:tc>
          <w:tcPr>
            <w:tcW w:w="9300" w:type="dxa"/>
            <w:gridSpan w:val="7"/>
            <w:tcBorders>
              <w:top w:val="nil"/>
              <w:left w:val="nil"/>
              <w:bottom w:val="single" w:color="auto" w:sz="4" w:space="0"/>
              <w:right w:val="nil"/>
            </w:tcBorders>
            <w:shd w:val="clear" w:color="auto" w:fill="auto"/>
            <w:noWrap/>
            <w:vAlign w:val="center"/>
          </w:tcPr>
          <w:p>
            <w:pPr>
              <w:shd w:val="clear"/>
              <w:spacing w:line="330" w:lineRule="exact"/>
              <w:ind w:firstLine="316" w:firstLineChars="150"/>
              <w:jc w:val="center"/>
              <w:rPr>
                <w:rFonts w:hint="eastAsia" w:asciiTheme="minorEastAsia" w:hAnsiTheme="minorEastAsia" w:eastAsiaTheme="minorEastAsia"/>
                <w:b/>
                <w:bCs/>
                <w:color w:val="auto"/>
                <w:spacing w:val="0"/>
                <w:sz w:val="21"/>
                <w:szCs w:val="21"/>
              </w:rPr>
            </w:pPr>
            <w:r>
              <w:rPr>
                <w:rFonts w:hint="eastAsia" w:asciiTheme="minorEastAsia" w:hAnsiTheme="minorEastAsia" w:eastAsiaTheme="minorEastAsia"/>
                <w:b/>
                <w:bCs/>
                <w:color w:val="auto"/>
                <w:spacing w:val="0"/>
                <w:sz w:val="21"/>
                <w:szCs w:val="21"/>
              </w:rPr>
              <w:t>估价对象</w:t>
            </w:r>
            <w:r>
              <w:rPr>
                <w:rFonts w:hint="eastAsia" w:asciiTheme="minorEastAsia" w:hAnsiTheme="minorEastAsia" w:eastAsiaTheme="minorEastAsia"/>
                <w:b/>
                <w:bCs/>
                <w:color w:val="auto"/>
                <w:spacing w:val="0"/>
                <w:sz w:val="21"/>
                <w:szCs w:val="21"/>
                <w:lang w:eastAsia="zh-CN"/>
              </w:rPr>
              <w:t>设备</w:t>
            </w:r>
            <w:r>
              <w:rPr>
                <w:rFonts w:hint="eastAsia" w:ascii="宋体" w:hAnsi="宋体" w:cs="宋体"/>
                <w:b/>
                <w:bCs/>
                <w:color w:val="auto"/>
                <w:kern w:val="0"/>
                <w:sz w:val="21"/>
                <w:szCs w:val="21"/>
                <w:lang w:val="en-US" w:eastAsia="zh-CN" w:bidi="ar"/>
              </w:rPr>
              <w:t>评估结果</w:t>
            </w:r>
            <w:r>
              <w:rPr>
                <w:rFonts w:hint="eastAsia" w:asciiTheme="minorEastAsia" w:hAnsiTheme="minorEastAsia" w:eastAsiaTheme="minorEastAsia"/>
                <w:b/>
                <w:bCs/>
                <w:color w:val="auto"/>
                <w:spacing w:val="0"/>
                <w:sz w:val="21"/>
                <w:szCs w:val="21"/>
                <w:lang w:eastAsia="zh-CN"/>
              </w:rPr>
              <w:t>一览表</w:t>
            </w:r>
          </w:p>
        </w:tc>
      </w:tr>
      <w:tr>
        <w:tblPrEx>
          <w:tblCellMar>
            <w:top w:w="0" w:type="dxa"/>
            <w:left w:w="108" w:type="dxa"/>
            <w:bottom w:w="0" w:type="dxa"/>
            <w:right w:w="108" w:type="dxa"/>
          </w:tblCellMar>
        </w:tblPrEx>
        <w:trPr>
          <w:trHeight w:val="613" w:hRule="atLeast"/>
          <w:jc w:val="center"/>
        </w:trPr>
        <w:tc>
          <w:tcPr>
            <w:tcW w:w="93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序号</w:t>
            </w:r>
          </w:p>
        </w:tc>
        <w:tc>
          <w:tcPr>
            <w:tcW w:w="138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名称</w:t>
            </w:r>
          </w:p>
        </w:tc>
        <w:tc>
          <w:tcPr>
            <w:tcW w:w="99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数量</w:t>
            </w:r>
          </w:p>
        </w:tc>
        <w:tc>
          <w:tcPr>
            <w:tcW w:w="134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单位</w:t>
            </w:r>
          </w:p>
        </w:tc>
        <w:tc>
          <w:tcPr>
            <w:tcW w:w="166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bidi="ar"/>
              </w:rPr>
            </w:pPr>
            <w:r>
              <w:rPr>
                <w:rFonts w:hint="eastAsia" w:ascii="宋体" w:hAnsi="宋体" w:cs="宋体"/>
                <w:b/>
                <w:bCs/>
                <w:color w:val="auto"/>
                <w:kern w:val="0"/>
                <w:sz w:val="21"/>
                <w:szCs w:val="21"/>
                <w:lang w:bidi="ar"/>
              </w:rPr>
              <w:t>备注</w:t>
            </w:r>
          </w:p>
        </w:tc>
        <w:tc>
          <w:tcPr>
            <w:tcW w:w="1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bidi="ar"/>
              </w:rPr>
            </w:pPr>
            <w:r>
              <w:rPr>
                <w:rFonts w:hint="eastAsia" w:ascii="宋体" w:hAnsi="宋体" w:cs="宋体"/>
                <w:b/>
                <w:bCs/>
                <w:color w:val="auto"/>
                <w:kern w:val="0"/>
                <w:sz w:val="21"/>
                <w:szCs w:val="21"/>
                <w:lang w:val="en-US" w:eastAsia="zh-CN" w:bidi="ar"/>
              </w:rPr>
              <w:t>评估单价（元）</w:t>
            </w:r>
          </w:p>
        </w:tc>
        <w:tc>
          <w:tcPr>
            <w:tcW w:w="143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bidi="ar"/>
              </w:rPr>
            </w:pPr>
            <w:r>
              <w:rPr>
                <w:rFonts w:hint="eastAsia" w:ascii="宋体" w:hAnsi="宋体" w:cs="宋体"/>
                <w:b/>
                <w:bCs/>
                <w:color w:val="auto"/>
                <w:kern w:val="0"/>
                <w:sz w:val="21"/>
                <w:szCs w:val="21"/>
                <w:lang w:val="en-US" w:eastAsia="zh-CN" w:bidi="ar"/>
              </w:rPr>
              <w:t>评估总价（元）</w:t>
            </w:r>
          </w:p>
        </w:tc>
      </w:tr>
      <w:tr>
        <w:tblPrEx>
          <w:tblCellMar>
            <w:top w:w="0" w:type="dxa"/>
            <w:left w:w="108" w:type="dxa"/>
            <w:bottom w:w="0" w:type="dxa"/>
            <w:right w:w="108" w:type="dxa"/>
          </w:tblCellMar>
        </w:tblPrEx>
        <w:trPr>
          <w:trHeight w:val="777"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电动门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8</w:t>
            </w: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米</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高1.6m，位于西门，</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360</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2880</w:t>
            </w:r>
          </w:p>
        </w:tc>
      </w:tr>
      <w:tr>
        <w:tblPrEx>
          <w:tblCellMar>
            <w:top w:w="0" w:type="dxa"/>
            <w:left w:w="108" w:type="dxa"/>
            <w:bottom w:w="0" w:type="dxa"/>
            <w:right w:w="108" w:type="dxa"/>
          </w:tblCellMar>
        </w:tblPrEx>
        <w:trPr>
          <w:trHeight w:val="781"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电动门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16</w:t>
            </w: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米</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高1.6m，位于北门</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720</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11520</w:t>
            </w:r>
          </w:p>
        </w:tc>
      </w:tr>
      <w:tr>
        <w:tblPrEx>
          <w:tblCellMar>
            <w:top w:w="0" w:type="dxa"/>
            <w:left w:w="108" w:type="dxa"/>
            <w:bottom w:w="0" w:type="dxa"/>
            <w:right w:w="108" w:type="dxa"/>
          </w:tblCellMar>
        </w:tblPrEx>
        <w:trPr>
          <w:trHeight w:val="40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变压器</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台</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200千瓦</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15664</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15664</w:t>
            </w:r>
          </w:p>
        </w:tc>
      </w:tr>
      <w:tr>
        <w:tblPrEx>
          <w:tblCellMar>
            <w:top w:w="0" w:type="dxa"/>
            <w:left w:w="108" w:type="dxa"/>
            <w:bottom w:w="0" w:type="dxa"/>
            <w:right w:w="108" w:type="dxa"/>
          </w:tblCellMar>
        </w:tblPrEx>
        <w:trPr>
          <w:trHeight w:val="40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4</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动力柜</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w:t>
            </w: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台</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XL-21</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1610</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3220</w:t>
            </w:r>
          </w:p>
        </w:tc>
      </w:tr>
      <w:tr>
        <w:tblPrEx>
          <w:tblCellMar>
            <w:top w:w="0" w:type="dxa"/>
            <w:left w:w="108" w:type="dxa"/>
            <w:bottom w:w="0" w:type="dxa"/>
            <w:right w:w="108" w:type="dxa"/>
          </w:tblCellMar>
        </w:tblPrEx>
        <w:trPr>
          <w:trHeight w:val="400"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配电柜</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台</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GGD</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1610</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1610</w:t>
            </w:r>
          </w:p>
        </w:tc>
      </w:tr>
      <w:tr>
        <w:tblPrEx>
          <w:tblCellMar>
            <w:top w:w="0" w:type="dxa"/>
            <w:left w:w="108" w:type="dxa"/>
            <w:bottom w:w="0" w:type="dxa"/>
            <w:right w:w="108" w:type="dxa"/>
          </w:tblCellMar>
        </w:tblPrEx>
        <w:trPr>
          <w:trHeight w:val="781"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6</w:t>
            </w: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广告铁架</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84</w:t>
            </w: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平方米</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网格状，高约3m，长28m</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54</w:t>
            </w: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4536</w:t>
            </w:r>
          </w:p>
        </w:tc>
      </w:tr>
      <w:tr>
        <w:tblPrEx>
          <w:tblCellMar>
            <w:top w:w="0" w:type="dxa"/>
            <w:left w:w="108" w:type="dxa"/>
            <w:bottom w:w="0" w:type="dxa"/>
            <w:right w:w="108" w:type="dxa"/>
          </w:tblCellMar>
        </w:tblPrEx>
        <w:trPr>
          <w:trHeight w:val="423" w:hRule="atLeast"/>
          <w:jc w:val="center"/>
        </w:trPr>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cs="宋体" w:asciiTheme="minorEastAsia" w:hAnsiTheme="minorEastAsia" w:eastAsiaTheme="minorEastAsia"/>
                <w:color w:val="auto"/>
                <w:sz w:val="21"/>
                <w:szCs w:val="21"/>
                <w:lang w:val="en-US" w:eastAsia="zh-CN"/>
              </w:rPr>
            </w:pPr>
          </w:p>
        </w:tc>
        <w:tc>
          <w:tcPr>
            <w:tcW w:w="14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39430</w:t>
            </w:r>
          </w:p>
        </w:tc>
      </w:tr>
    </w:tbl>
    <w:p>
      <w:pPr>
        <w:shd w:val="clear"/>
        <w:spacing w:line="360" w:lineRule="auto"/>
        <w:rPr>
          <w:rFonts w:ascii="宋体" w:hAnsi="宋体"/>
          <w:b/>
          <w:color w:val="auto"/>
          <w:spacing w:val="0"/>
        </w:rPr>
      </w:pPr>
      <w:r>
        <w:rPr>
          <w:rFonts w:hint="eastAsia" w:ascii="宋体" w:hAnsi="宋体"/>
          <w:b/>
          <w:color w:val="auto"/>
          <w:spacing w:val="0"/>
        </w:rPr>
        <w:t>特别提示：</w:t>
      </w:r>
    </w:p>
    <w:p>
      <w:pPr>
        <w:shd w:val="clear" w:color="auto"/>
        <w:spacing w:line="500" w:lineRule="exact"/>
        <w:ind w:firstLine="420"/>
        <w:rPr>
          <w:rFonts w:ascii="宋体" w:hAnsi="宋体"/>
          <w:color w:val="auto"/>
          <w:spacing w:val="0"/>
        </w:rPr>
      </w:pPr>
      <w:r>
        <w:rPr>
          <w:rFonts w:hint="eastAsia" w:ascii="宋体" w:hAnsi="宋体"/>
          <w:color w:val="auto"/>
          <w:spacing w:val="0"/>
        </w:rPr>
        <w:t>1、本估价报告使用期限自估价报告出具之日（</w:t>
      </w:r>
      <w:r>
        <w:rPr>
          <w:rFonts w:hint="eastAsia" w:ascii="宋体" w:hAnsi="宋体"/>
          <w:color w:val="auto"/>
          <w:spacing w:val="0"/>
          <w:lang w:eastAsia="zh-CN"/>
        </w:rPr>
        <w:t>2023年10月12日</w:t>
      </w:r>
      <w:r>
        <w:rPr>
          <w:rFonts w:hint="eastAsia" w:ascii="宋体" w:hAnsi="宋体"/>
          <w:color w:val="auto"/>
          <w:spacing w:val="0"/>
        </w:rPr>
        <w:t>）起计算，根据估价目的和预计估价对象的市场价格变化程度确定，不宜超过一年；</w:t>
      </w:r>
    </w:p>
    <w:p>
      <w:pPr>
        <w:shd w:val="clear" w:color="auto"/>
        <w:spacing w:line="500" w:lineRule="exact"/>
        <w:ind w:firstLine="420"/>
        <w:rPr>
          <w:rFonts w:ascii="宋体" w:hAnsi="宋体"/>
          <w:color w:val="auto"/>
          <w:spacing w:val="0"/>
        </w:rPr>
      </w:pPr>
      <w:r>
        <w:rPr>
          <w:rFonts w:hint="eastAsia" w:ascii="宋体" w:hAnsi="宋体"/>
          <w:color w:val="auto"/>
          <w:spacing w:val="0"/>
        </w:rPr>
        <w:t>2、评估报告使用者应当按照法律规定和评估报告载明的用途、使用人、使用期限、评估目的等使用范围使用评估报告。否则，房地产估价机构和注册房地产估价师依法不承担责任；</w:t>
      </w:r>
    </w:p>
    <w:p>
      <w:pPr>
        <w:shd w:val="clear" w:color="auto"/>
        <w:spacing w:line="500" w:lineRule="exact"/>
        <w:ind w:firstLine="420"/>
        <w:rPr>
          <w:rFonts w:ascii="宋体" w:hAnsi="宋体"/>
          <w:color w:val="auto"/>
          <w:spacing w:val="0"/>
        </w:rPr>
      </w:pPr>
      <w:r>
        <w:rPr>
          <w:rFonts w:hint="eastAsia" w:ascii="宋体" w:hAnsi="宋体"/>
          <w:color w:val="auto"/>
          <w:spacing w:val="0"/>
        </w:rPr>
        <w:t>3、评估结果仅为为</w:t>
      </w:r>
      <w:r>
        <w:rPr>
          <w:rFonts w:hint="eastAsia" w:asciiTheme="minorEastAsia" w:hAnsiTheme="minorEastAsia" w:eastAsiaTheme="minorEastAsia"/>
          <w:bCs/>
          <w:color w:val="auto"/>
          <w:spacing w:val="0"/>
          <w:szCs w:val="24"/>
          <w:lang w:eastAsia="zh-CN"/>
        </w:rPr>
        <w:t>六安市金安区人民法院</w:t>
      </w:r>
      <w:r>
        <w:rPr>
          <w:rFonts w:hint="eastAsia" w:ascii="宋体" w:hAnsi="宋体"/>
          <w:color w:val="auto"/>
          <w:spacing w:val="0"/>
        </w:rPr>
        <w:t>确定财产处置参考价提供参考依据，不是评估对象处置可实现的成交价格，也不应当被视为对评估对象处置成交价格的保证；</w:t>
      </w:r>
    </w:p>
    <w:p>
      <w:pPr>
        <w:shd w:val="clear"/>
        <w:spacing w:line="500" w:lineRule="exact"/>
        <w:ind w:firstLine="480" w:firstLineChars="200"/>
        <w:rPr>
          <w:rFonts w:asciiTheme="minorEastAsia" w:hAnsiTheme="minorEastAsia" w:eastAsiaTheme="minorEastAsia"/>
          <w:color w:val="auto"/>
          <w:spacing w:val="0"/>
        </w:rPr>
      </w:pPr>
      <w:r>
        <w:rPr>
          <w:rFonts w:hint="eastAsia" w:ascii="宋体" w:hAnsi="宋体"/>
          <w:color w:val="auto"/>
          <w:spacing w:val="0"/>
        </w:rPr>
        <w:t>4、若报告使用期限内，房地产市场或估价对象状况发生重大变化，估价结果需做相应调整或委托估价机构重新估价</w:t>
      </w:r>
      <w:r>
        <w:rPr>
          <w:rFonts w:hint="eastAsia" w:asciiTheme="minorEastAsia" w:hAnsiTheme="minorEastAsia" w:eastAsiaTheme="minorEastAsia"/>
          <w:color w:val="auto"/>
          <w:spacing w:val="0"/>
        </w:rPr>
        <w:t>。</w:t>
      </w:r>
    </w:p>
    <w:p>
      <w:pPr>
        <w:shd w:val="clear"/>
        <w:spacing w:line="500" w:lineRule="exact"/>
        <w:ind w:left="3682" w:leftChars="1416" w:firstLine="480" w:firstLineChars="200"/>
        <w:rPr>
          <w:rFonts w:asciiTheme="minorEastAsia" w:hAnsiTheme="minorEastAsia" w:eastAsiaTheme="minorEastAsia"/>
          <w:color w:val="auto"/>
          <w:spacing w:val="0"/>
        </w:rPr>
      </w:pPr>
    </w:p>
    <w:p>
      <w:pPr>
        <w:shd w:val="clear"/>
        <w:spacing w:line="480" w:lineRule="exact"/>
        <w:ind w:left="3682" w:leftChars="1416" w:firstLine="480" w:firstLineChars="200"/>
        <w:rPr>
          <w:rFonts w:asciiTheme="minorEastAsia" w:hAnsiTheme="minorEastAsia" w:eastAsiaTheme="minorEastAsia"/>
          <w:color w:val="auto"/>
          <w:spacing w:val="0"/>
        </w:rPr>
      </w:pPr>
    </w:p>
    <w:p>
      <w:pPr>
        <w:shd w:val="clear"/>
        <w:spacing w:line="480" w:lineRule="exact"/>
        <w:ind w:firstLine="4320" w:firstLineChars="1800"/>
        <w:rPr>
          <w:rFonts w:hint="eastAsia" w:asciiTheme="minorEastAsia" w:hAnsiTheme="minorEastAsia" w:eastAsiaTheme="minorEastAsia"/>
          <w:color w:val="auto"/>
          <w:spacing w:val="0"/>
        </w:rPr>
      </w:pPr>
      <w:r>
        <w:rPr>
          <w:rFonts w:hint="eastAsia" w:asciiTheme="minorEastAsia" w:hAnsiTheme="minorEastAsia" w:eastAsiaTheme="minorEastAsia"/>
          <w:color w:val="auto"/>
          <w:spacing w:val="0"/>
        </w:rPr>
        <w:t>安徽华兴房地产土地评估有限责任公司</w:t>
      </w:r>
    </w:p>
    <w:p>
      <w:pPr>
        <w:shd w:val="clear"/>
        <w:spacing w:line="480" w:lineRule="exact"/>
        <w:ind w:firstLine="5280" w:firstLineChars="2200"/>
        <w:rPr>
          <w:rFonts w:hint="eastAsia" w:asciiTheme="minorEastAsia" w:hAnsiTheme="minorEastAsia" w:eastAsiaTheme="minorEastAsia"/>
          <w:color w:val="auto"/>
          <w:spacing w:val="0"/>
          <w:lang w:eastAsia="zh-CN"/>
        </w:rPr>
      </w:pPr>
      <w:r>
        <w:rPr>
          <w:rFonts w:hint="eastAsia" w:asciiTheme="minorEastAsia" w:hAnsiTheme="minorEastAsia" w:eastAsiaTheme="minorEastAsia"/>
          <w:color w:val="auto"/>
          <w:spacing w:val="0"/>
        </w:rPr>
        <w:t>法定代表人：</w:t>
      </w:r>
      <w:r>
        <w:rPr>
          <w:rFonts w:hint="eastAsia" w:asciiTheme="minorEastAsia" w:hAnsiTheme="minorEastAsia" w:eastAsiaTheme="minorEastAsia"/>
          <w:color w:val="auto"/>
          <w:spacing w:val="0"/>
          <w:lang w:eastAsia="zh-CN"/>
        </w:rPr>
        <w:t>施志君</w:t>
      </w:r>
    </w:p>
    <w:p>
      <w:pPr>
        <w:shd w:val="clear"/>
        <w:spacing w:line="480" w:lineRule="exact"/>
        <w:ind w:firstLine="5280" w:firstLineChars="2200"/>
        <w:rPr>
          <w:rFonts w:asciiTheme="minorEastAsia" w:hAnsiTheme="minorEastAsia" w:eastAsiaTheme="minorEastAsia"/>
          <w:color w:val="auto"/>
          <w:spacing w:val="0"/>
        </w:rPr>
      </w:pPr>
      <w:r>
        <w:rPr>
          <w:rFonts w:hint="eastAsia" w:asciiTheme="minorEastAsia" w:hAnsiTheme="minorEastAsia" w:eastAsiaTheme="minorEastAsia"/>
          <w:color w:val="auto"/>
          <w:spacing w:val="0"/>
          <w:lang w:eastAsia="zh-CN"/>
        </w:rPr>
        <w:t>二○二三年十月十二日</w:t>
      </w:r>
      <w:r>
        <w:rPr>
          <w:rFonts w:asciiTheme="minorEastAsia" w:hAnsiTheme="minorEastAsia" w:eastAsiaTheme="minorEastAsia"/>
          <w:color w:val="auto"/>
          <w:spacing w:val="0"/>
        </w:rPr>
        <w:br w:type="page"/>
      </w:r>
    </w:p>
    <w:p>
      <w:pPr>
        <w:shd w:val="clear"/>
        <w:spacing w:line="480" w:lineRule="exact"/>
        <w:jc w:val="center"/>
        <w:rPr>
          <w:rFonts w:asciiTheme="minorEastAsia" w:hAnsiTheme="minorEastAsia" w:eastAsiaTheme="minorEastAsia"/>
          <w:b/>
          <w:color w:val="auto"/>
          <w:sz w:val="44"/>
        </w:rPr>
      </w:pPr>
      <w:r>
        <w:rPr>
          <w:rFonts w:hint="eastAsia" w:asciiTheme="minorEastAsia" w:hAnsiTheme="minorEastAsia" w:eastAsiaTheme="minorEastAsia"/>
          <w:b/>
          <w:color w:val="auto"/>
          <w:sz w:val="44"/>
        </w:rPr>
        <w:t>目 录</w:t>
      </w:r>
    </w:p>
    <w:p>
      <w:pPr>
        <w:shd w:val="clear"/>
        <w:spacing w:line="360" w:lineRule="exact"/>
        <w:ind w:right="-182" w:rightChars="-70"/>
        <w:jc w:val="right"/>
        <w:rPr>
          <w:rFonts w:hint="eastAsia" w:asciiTheme="minorEastAsia" w:hAnsiTheme="minorEastAsia" w:eastAsiaTheme="minorEastAsia"/>
          <w:color w:val="auto"/>
          <w:szCs w:val="24"/>
          <w:lang w:eastAsia="zh-CN"/>
        </w:rPr>
      </w:pPr>
      <w:r>
        <w:rPr>
          <w:rFonts w:hint="eastAsia" w:asciiTheme="minorEastAsia" w:hAnsiTheme="minorEastAsia" w:eastAsiaTheme="minorEastAsia"/>
          <w:b/>
          <w:color w:val="auto"/>
          <w:szCs w:val="24"/>
        </w:rPr>
        <w:t>估价师声明</w:t>
      </w:r>
      <w:r>
        <w:rPr>
          <w:rFonts w:hint="eastAsia" w:asciiTheme="minorEastAsia" w:hAnsiTheme="minorEastAsia" w:eastAsiaTheme="minorEastAsia"/>
          <w:color w:val="auto"/>
          <w:szCs w:val="24"/>
        </w:rPr>
        <w:t>………………………………………………………………………</w:t>
      </w:r>
      <w:r>
        <w:rPr>
          <w:rFonts w:hint="eastAsia" w:asciiTheme="minorEastAsia" w:hAnsiTheme="minorEastAsia" w:eastAsiaTheme="minorEastAsia"/>
          <w:color w:val="auto"/>
          <w:szCs w:val="24"/>
          <w:lang w:val="en-US" w:eastAsia="zh-CN"/>
        </w:rPr>
        <w:t>09</w:t>
      </w:r>
    </w:p>
    <w:p>
      <w:pPr>
        <w:shd w:val="clear"/>
        <w:spacing w:line="360" w:lineRule="exact"/>
        <w:ind w:right="-182" w:rightChars="-70"/>
        <w:jc w:val="right"/>
        <w:rPr>
          <w:rFonts w:hint="default" w:asciiTheme="minorEastAsia" w:hAnsiTheme="minorEastAsia" w:eastAsiaTheme="minorEastAsia"/>
          <w:color w:val="auto"/>
          <w:szCs w:val="24"/>
          <w:lang w:val="en-US" w:eastAsia="zh-CN"/>
        </w:rPr>
      </w:pPr>
      <w:r>
        <w:rPr>
          <w:rFonts w:hint="eastAsia" w:asciiTheme="minorEastAsia" w:hAnsiTheme="minorEastAsia" w:eastAsiaTheme="minorEastAsia"/>
          <w:b/>
          <w:color w:val="auto"/>
          <w:szCs w:val="24"/>
        </w:rPr>
        <w:t>估价假设和限制条件</w:t>
      </w:r>
      <w:r>
        <w:rPr>
          <w:rFonts w:hint="eastAsia" w:asciiTheme="minorEastAsia" w:hAnsiTheme="minorEastAsia" w:eastAsiaTheme="minorEastAsia"/>
          <w:color w:val="auto"/>
          <w:szCs w:val="24"/>
        </w:rPr>
        <w:t>……………………………………………………………</w:t>
      </w:r>
      <w:r>
        <w:rPr>
          <w:rFonts w:hint="eastAsia" w:asciiTheme="minorEastAsia" w:hAnsiTheme="minorEastAsia" w:eastAsiaTheme="minorEastAsia"/>
          <w:color w:val="auto"/>
          <w:szCs w:val="24"/>
          <w:lang w:val="en-US" w:eastAsia="zh-CN"/>
        </w:rPr>
        <w:t>10</w:t>
      </w:r>
    </w:p>
    <w:p>
      <w:pPr>
        <w:shd w:val="clear"/>
        <w:spacing w:line="360" w:lineRule="exact"/>
        <w:ind w:left="13" w:leftChars="5" w:right="-182" w:rightChars="-70" w:firstLine="520" w:firstLineChars="200"/>
        <w:jc w:val="right"/>
        <w:rPr>
          <w:rFonts w:hint="default" w:asciiTheme="minorEastAsia" w:hAnsiTheme="minorEastAsia" w:eastAsiaTheme="minorEastAsia"/>
          <w:color w:val="auto"/>
          <w:szCs w:val="24"/>
          <w:lang w:val="en-US" w:eastAsia="zh-CN"/>
        </w:rPr>
      </w:pPr>
      <w:r>
        <w:rPr>
          <w:rFonts w:hint="eastAsia" w:asciiTheme="minorEastAsia" w:hAnsiTheme="minorEastAsia" w:eastAsiaTheme="minorEastAsia"/>
          <w:color w:val="auto"/>
          <w:szCs w:val="24"/>
        </w:rPr>
        <w:t>一、估价假设条件…………………………………………………………</w:t>
      </w:r>
      <w:r>
        <w:rPr>
          <w:rFonts w:hint="eastAsia" w:asciiTheme="minorEastAsia" w:hAnsiTheme="minorEastAsia" w:eastAsiaTheme="minorEastAsia"/>
          <w:color w:val="auto"/>
          <w:szCs w:val="24"/>
          <w:lang w:val="en-US" w:eastAsia="zh-CN"/>
        </w:rPr>
        <w:t>10</w:t>
      </w:r>
    </w:p>
    <w:p>
      <w:pPr>
        <w:shd w:val="clear"/>
        <w:spacing w:line="360" w:lineRule="exact"/>
        <w:ind w:left="13" w:leftChars="5" w:right="-182" w:rightChars="-70" w:firstLine="520" w:firstLineChars="200"/>
        <w:jc w:val="right"/>
        <w:rPr>
          <w:rFonts w:hint="default" w:asciiTheme="minorEastAsia" w:hAnsiTheme="minorEastAsia" w:eastAsiaTheme="minorEastAsia"/>
          <w:color w:val="auto"/>
          <w:szCs w:val="24"/>
          <w:lang w:val="en-US" w:eastAsia="zh-CN"/>
        </w:rPr>
      </w:pPr>
      <w:r>
        <w:rPr>
          <w:rFonts w:hint="eastAsia" w:asciiTheme="minorEastAsia" w:hAnsiTheme="minorEastAsia" w:eastAsiaTheme="minorEastAsia"/>
          <w:color w:val="auto"/>
          <w:szCs w:val="24"/>
        </w:rPr>
        <w:t>二、估价限制条件…………………………………………………………</w:t>
      </w:r>
      <w:r>
        <w:rPr>
          <w:rFonts w:hint="eastAsia" w:asciiTheme="minorEastAsia" w:hAnsiTheme="minorEastAsia" w:eastAsiaTheme="minorEastAsia"/>
          <w:color w:val="auto"/>
          <w:szCs w:val="24"/>
          <w:lang w:val="en-US" w:eastAsia="zh-CN"/>
        </w:rPr>
        <w:t>12</w:t>
      </w:r>
    </w:p>
    <w:p>
      <w:pPr>
        <w:shd w:val="clear"/>
        <w:spacing w:line="360" w:lineRule="exact"/>
        <w:ind w:right="-182" w:rightChars="-70"/>
        <w:jc w:val="right"/>
        <w:rPr>
          <w:rFonts w:hint="default" w:asciiTheme="minorEastAsia" w:hAnsiTheme="minorEastAsia" w:eastAsiaTheme="minorEastAsia"/>
          <w:color w:val="auto"/>
          <w:szCs w:val="24"/>
          <w:lang w:val="en-US" w:eastAsia="zh-CN"/>
        </w:rPr>
      </w:pPr>
      <w:r>
        <w:rPr>
          <w:rFonts w:hint="eastAsia" w:asciiTheme="minorEastAsia" w:hAnsiTheme="minorEastAsia" w:eastAsiaTheme="minorEastAsia"/>
          <w:b/>
          <w:color w:val="auto"/>
          <w:szCs w:val="24"/>
        </w:rPr>
        <w:t>房地产估价结果报告</w:t>
      </w:r>
      <w:r>
        <w:rPr>
          <w:rFonts w:hint="eastAsia" w:asciiTheme="minorEastAsia" w:hAnsiTheme="minorEastAsia" w:eastAsiaTheme="minorEastAsia"/>
          <w:color w:val="auto"/>
          <w:szCs w:val="24"/>
        </w:rPr>
        <w:t>……………………………………………………………</w:t>
      </w:r>
      <w:r>
        <w:rPr>
          <w:rFonts w:hint="eastAsia" w:asciiTheme="minorEastAsia" w:hAnsiTheme="minorEastAsia" w:eastAsiaTheme="minorEastAsia"/>
          <w:color w:val="auto"/>
          <w:szCs w:val="24"/>
          <w:lang w:val="en-US" w:eastAsia="zh-CN"/>
        </w:rPr>
        <w:t>13</w:t>
      </w:r>
    </w:p>
    <w:p>
      <w:pPr>
        <w:shd w:val="clear"/>
        <w:spacing w:line="360" w:lineRule="exact"/>
        <w:ind w:left="13" w:leftChars="5" w:right="-182" w:rightChars="-70" w:firstLine="520" w:firstLineChars="200"/>
        <w:jc w:val="right"/>
        <w:rPr>
          <w:rFonts w:hint="default" w:asciiTheme="minorEastAsia" w:hAnsiTheme="minorEastAsia" w:eastAsiaTheme="minorEastAsia"/>
          <w:color w:val="auto"/>
          <w:szCs w:val="24"/>
          <w:lang w:val="en-US" w:eastAsia="zh-CN"/>
        </w:rPr>
      </w:pPr>
      <w:r>
        <w:rPr>
          <w:rFonts w:hint="eastAsia" w:asciiTheme="minorEastAsia" w:hAnsiTheme="minorEastAsia" w:eastAsiaTheme="minorEastAsia"/>
          <w:color w:val="auto"/>
          <w:szCs w:val="24"/>
        </w:rPr>
        <w:t>一、估价委托人……………………………………………………………</w:t>
      </w:r>
      <w:r>
        <w:rPr>
          <w:rFonts w:hint="eastAsia" w:asciiTheme="minorEastAsia" w:hAnsiTheme="minorEastAsia" w:eastAsiaTheme="minorEastAsia"/>
          <w:color w:val="auto"/>
          <w:szCs w:val="24"/>
          <w:lang w:val="en-US" w:eastAsia="zh-CN"/>
        </w:rPr>
        <w:t>13</w:t>
      </w:r>
    </w:p>
    <w:p>
      <w:pPr>
        <w:shd w:val="clear"/>
        <w:spacing w:line="360" w:lineRule="exact"/>
        <w:ind w:left="13" w:leftChars="5" w:right="-182" w:rightChars="-70" w:firstLine="520" w:firstLineChars="200"/>
        <w:jc w:val="right"/>
        <w:rPr>
          <w:rFonts w:hint="default" w:asciiTheme="minorEastAsia" w:hAnsiTheme="minorEastAsia" w:eastAsiaTheme="minorEastAsia"/>
          <w:color w:val="auto"/>
          <w:szCs w:val="24"/>
          <w:lang w:val="en-US" w:eastAsia="zh-CN"/>
        </w:rPr>
      </w:pPr>
      <w:r>
        <w:rPr>
          <w:rFonts w:hint="eastAsia" w:asciiTheme="minorEastAsia" w:hAnsiTheme="minorEastAsia" w:eastAsiaTheme="minorEastAsia"/>
          <w:color w:val="auto"/>
          <w:szCs w:val="24"/>
        </w:rPr>
        <w:t>二、估价机构………………………………………………………………</w:t>
      </w:r>
      <w:r>
        <w:rPr>
          <w:rFonts w:hint="eastAsia" w:asciiTheme="minorEastAsia" w:hAnsiTheme="minorEastAsia" w:eastAsiaTheme="minorEastAsia"/>
          <w:color w:val="auto"/>
          <w:szCs w:val="24"/>
          <w:lang w:val="en-US" w:eastAsia="zh-CN"/>
        </w:rPr>
        <w:t>13</w:t>
      </w:r>
    </w:p>
    <w:p>
      <w:pPr>
        <w:shd w:val="clear"/>
        <w:spacing w:line="360" w:lineRule="exact"/>
        <w:ind w:left="13" w:leftChars="5" w:right="-182" w:rightChars="-70" w:firstLine="520" w:firstLineChars="200"/>
        <w:jc w:val="right"/>
        <w:rPr>
          <w:rFonts w:hint="default" w:asciiTheme="minorEastAsia" w:hAnsiTheme="minorEastAsia" w:eastAsiaTheme="minorEastAsia"/>
          <w:color w:val="auto"/>
          <w:szCs w:val="24"/>
          <w:lang w:val="en-US" w:eastAsia="zh-CN"/>
        </w:rPr>
      </w:pPr>
      <w:r>
        <w:rPr>
          <w:rFonts w:hint="eastAsia" w:asciiTheme="minorEastAsia" w:hAnsiTheme="minorEastAsia" w:eastAsiaTheme="minorEastAsia"/>
          <w:color w:val="auto"/>
          <w:szCs w:val="24"/>
        </w:rPr>
        <w:t>三、估价目的………………………………………………………………</w:t>
      </w:r>
      <w:r>
        <w:rPr>
          <w:rFonts w:hint="eastAsia" w:asciiTheme="minorEastAsia" w:hAnsiTheme="minorEastAsia" w:eastAsiaTheme="minorEastAsia"/>
          <w:color w:val="auto"/>
          <w:szCs w:val="24"/>
          <w:lang w:val="en-US" w:eastAsia="zh-CN"/>
        </w:rPr>
        <w:t>13</w:t>
      </w:r>
    </w:p>
    <w:p>
      <w:pPr>
        <w:shd w:val="clear"/>
        <w:spacing w:line="360" w:lineRule="exact"/>
        <w:ind w:left="13" w:leftChars="5" w:right="-182" w:rightChars="-70" w:firstLine="520" w:firstLineChars="200"/>
        <w:jc w:val="right"/>
        <w:rPr>
          <w:rFonts w:hint="default" w:asciiTheme="minorEastAsia" w:hAnsiTheme="minorEastAsia" w:eastAsiaTheme="minorEastAsia"/>
          <w:color w:val="auto"/>
          <w:szCs w:val="24"/>
          <w:lang w:val="en-US" w:eastAsia="zh-CN"/>
        </w:rPr>
      </w:pPr>
      <w:r>
        <w:rPr>
          <w:rFonts w:hint="eastAsia" w:asciiTheme="minorEastAsia" w:hAnsiTheme="minorEastAsia" w:eastAsiaTheme="minorEastAsia"/>
          <w:color w:val="auto"/>
          <w:szCs w:val="24"/>
          <w:lang w:val="en-US" w:eastAsia="zh-CN"/>
        </w:rPr>
        <w:t xml:space="preserve"> </w:t>
      </w:r>
      <w:r>
        <w:rPr>
          <w:rFonts w:hint="eastAsia" w:asciiTheme="minorEastAsia" w:hAnsiTheme="minorEastAsia" w:eastAsiaTheme="minorEastAsia"/>
          <w:color w:val="auto"/>
          <w:szCs w:val="24"/>
        </w:rPr>
        <w:t>四、估价对象………………………………………………………………</w:t>
      </w:r>
      <w:r>
        <w:rPr>
          <w:rFonts w:hint="eastAsia" w:asciiTheme="minorEastAsia" w:hAnsiTheme="minorEastAsia" w:eastAsiaTheme="minorEastAsia"/>
          <w:color w:val="auto"/>
          <w:szCs w:val="24"/>
          <w:lang w:val="en-US" w:eastAsia="zh-CN"/>
        </w:rPr>
        <w:t>13</w:t>
      </w:r>
    </w:p>
    <w:p>
      <w:pPr>
        <w:shd w:val="clear"/>
        <w:spacing w:line="360" w:lineRule="exact"/>
        <w:ind w:left="13" w:leftChars="5" w:right="-182" w:rightChars="-70" w:firstLine="520" w:firstLineChars="200"/>
        <w:jc w:val="right"/>
        <w:rPr>
          <w:rFonts w:hint="default" w:asciiTheme="minorEastAsia" w:hAnsiTheme="minorEastAsia" w:eastAsiaTheme="minorEastAsia"/>
          <w:color w:val="auto"/>
          <w:szCs w:val="24"/>
          <w:lang w:val="en-US" w:eastAsia="zh-CN"/>
        </w:rPr>
      </w:pPr>
      <w:r>
        <w:rPr>
          <w:rFonts w:hint="eastAsia" w:asciiTheme="minorEastAsia" w:hAnsiTheme="minorEastAsia" w:eastAsiaTheme="minorEastAsia"/>
          <w:color w:val="auto"/>
          <w:szCs w:val="24"/>
        </w:rPr>
        <w:t>五、价值时点………………………………………………………………</w:t>
      </w:r>
      <w:r>
        <w:rPr>
          <w:rFonts w:hint="eastAsia" w:asciiTheme="minorEastAsia" w:hAnsiTheme="minorEastAsia" w:eastAsiaTheme="minorEastAsia"/>
          <w:color w:val="auto"/>
          <w:szCs w:val="24"/>
          <w:lang w:val="en-US" w:eastAsia="zh-CN"/>
        </w:rPr>
        <w:t>18</w:t>
      </w:r>
    </w:p>
    <w:p>
      <w:pPr>
        <w:shd w:val="clear"/>
        <w:spacing w:line="360" w:lineRule="exact"/>
        <w:ind w:left="13" w:leftChars="5" w:right="-182" w:rightChars="-70" w:firstLine="520" w:firstLineChars="200"/>
        <w:jc w:val="right"/>
        <w:rPr>
          <w:rFonts w:hint="default" w:asciiTheme="minorEastAsia" w:hAnsiTheme="minorEastAsia" w:eastAsiaTheme="minorEastAsia"/>
          <w:color w:val="auto"/>
          <w:szCs w:val="24"/>
          <w:lang w:val="en-US" w:eastAsia="zh-CN"/>
        </w:rPr>
      </w:pPr>
      <w:r>
        <w:rPr>
          <w:rFonts w:hint="eastAsia" w:asciiTheme="minorEastAsia" w:hAnsiTheme="minorEastAsia" w:eastAsiaTheme="minorEastAsia"/>
          <w:color w:val="auto"/>
          <w:szCs w:val="24"/>
        </w:rPr>
        <w:t>六、价值定义………………………………………………………………</w:t>
      </w:r>
      <w:r>
        <w:rPr>
          <w:rFonts w:hint="eastAsia" w:asciiTheme="minorEastAsia" w:hAnsiTheme="minorEastAsia" w:eastAsiaTheme="minorEastAsia"/>
          <w:color w:val="auto"/>
          <w:szCs w:val="24"/>
          <w:lang w:val="en-US" w:eastAsia="zh-CN"/>
        </w:rPr>
        <w:t>18</w:t>
      </w:r>
    </w:p>
    <w:p>
      <w:pPr>
        <w:shd w:val="clear"/>
        <w:spacing w:line="360" w:lineRule="exact"/>
        <w:ind w:left="13" w:leftChars="5" w:right="-182" w:rightChars="-70" w:firstLine="520" w:firstLineChars="200"/>
        <w:jc w:val="right"/>
        <w:rPr>
          <w:rFonts w:hint="default" w:asciiTheme="minorEastAsia" w:hAnsiTheme="minorEastAsia" w:eastAsiaTheme="minorEastAsia"/>
          <w:color w:val="auto"/>
          <w:szCs w:val="24"/>
          <w:lang w:val="en-US" w:eastAsia="zh-CN"/>
        </w:rPr>
      </w:pPr>
      <w:r>
        <w:rPr>
          <w:rFonts w:hint="eastAsia" w:asciiTheme="minorEastAsia" w:hAnsiTheme="minorEastAsia" w:eastAsiaTheme="minorEastAsia"/>
          <w:color w:val="auto"/>
          <w:szCs w:val="24"/>
        </w:rPr>
        <w:t>七、估价原则………………………………………………………………</w:t>
      </w:r>
      <w:r>
        <w:rPr>
          <w:rFonts w:hint="eastAsia" w:asciiTheme="minorEastAsia" w:hAnsiTheme="minorEastAsia" w:eastAsiaTheme="minorEastAsia"/>
          <w:color w:val="auto"/>
          <w:szCs w:val="24"/>
          <w:lang w:val="en-US" w:eastAsia="zh-CN"/>
        </w:rPr>
        <w:t>18</w:t>
      </w:r>
    </w:p>
    <w:p>
      <w:pPr>
        <w:shd w:val="clear"/>
        <w:spacing w:line="360" w:lineRule="exact"/>
        <w:ind w:left="13" w:leftChars="5" w:right="-182" w:rightChars="-70" w:firstLine="520" w:firstLineChars="200"/>
        <w:jc w:val="right"/>
        <w:rPr>
          <w:rFonts w:hint="eastAsia" w:asciiTheme="minorEastAsia" w:hAnsiTheme="minorEastAsia" w:eastAsiaTheme="minorEastAsia"/>
          <w:color w:val="auto"/>
          <w:szCs w:val="24"/>
          <w:lang w:eastAsia="zh-CN"/>
        </w:rPr>
      </w:pPr>
      <w:r>
        <w:rPr>
          <w:rFonts w:hint="eastAsia" w:asciiTheme="minorEastAsia" w:hAnsiTheme="minorEastAsia" w:eastAsiaTheme="minorEastAsia"/>
          <w:color w:val="auto"/>
          <w:szCs w:val="24"/>
        </w:rPr>
        <w:t>八、估价依据………………………………………………………………1</w:t>
      </w:r>
      <w:r>
        <w:rPr>
          <w:rFonts w:hint="eastAsia" w:asciiTheme="minorEastAsia" w:hAnsiTheme="minorEastAsia" w:eastAsiaTheme="minorEastAsia"/>
          <w:color w:val="auto"/>
          <w:szCs w:val="24"/>
          <w:lang w:val="en-US" w:eastAsia="zh-CN"/>
        </w:rPr>
        <w:t>9</w:t>
      </w:r>
    </w:p>
    <w:p>
      <w:pPr>
        <w:shd w:val="clear"/>
        <w:spacing w:line="360" w:lineRule="exact"/>
        <w:ind w:left="13" w:leftChars="5" w:right="-182" w:rightChars="-70" w:firstLine="520" w:firstLineChars="200"/>
        <w:jc w:val="right"/>
        <w:rPr>
          <w:rFonts w:hint="default" w:asciiTheme="minorEastAsia" w:hAnsiTheme="minorEastAsia" w:eastAsiaTheme="minorEastAsia"/>
          <w:color w:val="auto"/>
          <w:szCs w:val="24"/>
          <w:lang w:val="en-US" w:eastAsia="zh-CN"/>
        </w:rPr>
      </w:pPr>
      <w:r>
        <w:rPr>
          <w:rFonts w:hint="eastAsia" w:asciiTheme="minorEastAsia" w:hAnsiTheme="minorEastAsia" w:eastAsiaTheme="minorEastAsia"/>
          <w:color w:val="auto"/>
          <w:szCs w:val="24"/>
        </w:rPr>
        <w:t>九、估价方法………………………………………………………………</w:t>
      </w:r>
      <w:r>
        <w:rPr>
          <w:rFonts w:hint="eastAsia" w:asciiTheme="minorEastAsia" w:hAnsiTheme="minorEastAsia" w:eastAsiaTheme="minorEastAsia"/>
          <w:color w:val="auto"/>
          <w:szCs w:val="24"/>
          <w:lang w:val="en-US" w:eastAsia="zh-CN"/>
        </w:rPr>
        <w:t>21</w:t>
      </w:r>
    </w:p>
    <w:p>
      <w:pPr>
        <w:shd w:val="clear"/>
        <w:spacing w:line="360" w:lineRule="exact"/>
        <w:ind w:left="13" w:leftChars="5" w:right="-182" w:rightChars="-70" w:firstLine="520" w:firstLineChars="200"/>
        <w:jc w:val="right"/>
        <w:rPr>
          <w:rFonts w:hint="default" w:asciiTheme="minorEastAsia" w:hAnsiTheme="minorEastAsia" w:eastAsiaTheme="minorEastAsia"/>
          <w:color w:val="auto"/>
          <w:szCs w:val="24"/>
          <w:lang w:val="en-US" w:eastAsia="zh-CN"/>
        </w:rPr>
      </w:pPr>
      <w:r>
        <w:rPr>
          <w:rFonts w:hint="eastAsia" w:asciiTheme="minorEastAsia" w:hAnsiTheme="minorEastAsia" w:eastAsiaTheme="minorEastAsia"/>
          <w:color w:val="auto"/>
          <w:szCs w:val="24"/>
        </w:rPr>
        <w:t>十、估价结果………………………………………………………………</w:t>
      </w:r>
      <w:r>
        <w:rPr>
          <w:rFonts w:hint="eastAsia" w:asciiTheme="minorEastAsia" w:hAnsiTheme="minorEastAsia" w:eastAsiaTheme="minorEastAsia"/>
          <w:color w:val="auto"/>
          <w:szCs w:val="24"/>
          <w:lang w:val="en-US" w:eastAsia="zh-CN"/>
        </w:rPr>
        <w:t>24</w:t>
      </w:r>
    </w:p>
    <w:p>
      <w:pPr>
        <w:shd w:val="clear"/>
        <w:spacing w:line="360" w:lineRule="exact"/>
        <w:ind w:left="13" w:leftChars="5" w:right="-182" w:rightChars="-70" w:firstLine="520" w:firstLineChars="200"/>
        <w:jc w:val="right"/>
        <w:rPr>
          <w:rFonts w:hint="default" w:asciiTheme="minorEastAsia" w:hAnsiTheme="minorEastAsia" w:eastAsiaTheme="minorEastAsia"/>
          <w:color w:val="auto"/>
          <w:szCs w:val="24"/>
          <w:lang w:val="en-US" w:eastAsia="zh-CN"/>
        </w:rPr>
      </w:pPr>
      <w:r>
        <w:rPr>
          <w:rFonts w:hint="eastAsia" w:asciiTheme="minorEastAsia" w:hAnsiTheme="minorEastAsia" w:eastAsiaTheme="minorEastAsia"/>
          <w:color w:val="auto"/>
          <w:szCs w:val="24"/>
        </w:rPr>
        <w:t>十一、注册房地产估价师…………………………………………………</w:t>
      </w:r>
      <w:r>
        <w:rPr>
          <w:rFonts w:hint="eastAsia" w:asciiTheme="minorEastAsia" w:hAnsiTheme="minorEastAsia" w:eastAsiaTheme="minorEastAsia"/>
          <w:color w:val="auto"/>
          <w:szCs w:val="24"/>
          <w:lang w:val="en-US" w:eastAsia="zh-CN"/>
        </w:rPr>
        <w:t xml:space="preserve">27 </w:t>
      </w:r>
    </w:p>
    <w:p>
      <w:pPr>
        <w:shd w:val="clear"/>
        <w:spacing w:line="360" w:lineRule="exact"/>
        <w:ind w:left="13" w:leftChars="5" w:right="-182" w:rightChars="-70" w:firstLine="520" w:firstLineChars="200"/>
        <w:jc w:val="right"/>
        <w:rPr>
          <w:rFonts w:hint="default" w:asciiTheme="minorEastAsia" w:hAnsiTheme="minorEastAsia" w:eastAsiaTheme="minorEastAsia"/>
          <w:color w:val="auto"/>
          <w:szCs w:val="24"/>
          <w:lang w:val="en-US" w:eastAsia="zh-CN"/>
        </w:rPr>
      </w:pPr>
      <w:r>
        <w:rPr>
          <w:rFonts w:hint="eastAsia" w:asciiTheme="minorEastAsia" w:hAnsiTheme="minorEastAsia" w:eastAsiaTheme="minorEastAsia"/>
          <w:color w:val="auto"/>
          <w:szCs w:val="24"/>
        </w:rPr>
        <w:t>十二、实地查勘期…………………………………………………………</w:t>
      </w:r>
      <w:r>
        <w:rPr>
          <w:rFonts w:hint="eastAsia" w:asciiTheme="minorEastAsia" w:hAnsiTheme="minorEastAsia" w:eastAsiaTheme="minorEastAsia"/>
          <w:color w:val="auto"/>
          <w:szCs w:val="24"/>
          <w:lang w:val="en-US" w:eastAsia="zh-CN"/>
        </w:rPr>
        <w:t>27</w:t>
      </w:r>
    </w:p>
    <w:p>
      <w:pPr>
        <w:shd w:val="clear"/>
        <w:spacing w:line="360" w:lineRule="exact"/>
        <w:ind w:left="13" w:leftChars="5" w:right="-182" w:rightChars="-70" w:firstLine="520" w:firstLineChars="200"/>
        <w:jc w:val="right"/>
        <w:rPr>
          <w:rFonts w:hint="default" w:asciiTheme="minorEastAsia" w:hAnsiTheme="minorEastAsia" w:eastAsiaTheme="minorEastAsia"/>
          <w:color w:val="auto"/>
          <w:szCs w:val="24"/>
          <w:lang w:val="en-US" w:eastAsia="zh-CN"/>
        </w:rPr>
      </w:pPr>
      <w:r>
        <w:rPr>
          <w:rFonts w:hint="eastAsia" w:asciiTheme="minorEastAsia" w:hAnsiTheme="minorEastAsia" w:eastAsiaTheme="minorEastAsia"/>
          <w:color w:val="auto"/>
          <w:szCs w:val="24"/>
        </w:rPr>
        <w:t>十三、估价作业期…………………………………………………………</w:t>
      </w:r>
      <w:r>
        <w:rPr>
          <w:rFonts w:hint="eastAsia" w:asciiTheme="minorEastAsia" w:hAnsiTheme="minorEastAsia" w:eastAsiaTheme="minorEastAsia"/>
          <w:color w:val="auto"/>
          <w:szCs w:val="24"/>
          <w:lang w:val="en-US" w:eastAsia="zh-CN"/>
        </w:rPr>
        <w:t>27</w:t>
      </w:r>
    </w:p>
    <w:p>
      <w:pPr>
        <w:shd w:val="clear"/>
        <w:spacing w:line="360" w:lineRule="exact"/>
        <w:ind w:left="13" w:leftChars="5" w:right="-182" w:rightChars="-70" w:firstLine="520" w:firstLineChars="200"/>
        <w:jc w:val="right"/>
        <w:rPr>
          <w:rFonts w:hint="default" w:asciiTheme="minorEastAsia" w:hAnsiTheme="minorEastAsia" w:eastAsiaTheme="minorEastAsia"/>
          <w:color w:val="auto"/>
          <w:szCs w:val="24"/>
          <w:lang w:val="en-US" w:eastAsia="zh-CN"/>
        </w:rPr>
      </w:pPr>
      <w:r>
        <w:rPr>
          <w:rFonts w:hint="eastAsia" w:asciiTheme="minorEastAsia" w:hAnsiTheme="minorEastAsia" w:eastAsiaTheme="minorEastAsia"/>
          <w:color w:val="auto"/>
          <w:szCs w:val="24"/>
        </w:rPr>
        <w:t>十四、估价报告应用的有效期……………………………………………</w:t>
      </w:r>
      <w:r>
        <w:rPr>
          <w:rFonts w:hint="eastAsia" w:asciiTheme="minorEastAsia" w:hAnsiTheme="minorEastAsia" w:eastAsiaTheme="minorEastAsia"/>
          <w:color w:val="auto"/>
          <w:szCs w:val="24"/>
          <w:lang w:val="en-US" w:eastAsia="zh-CN"/>
        </w:rPr>
        <w:t>27</w:t>
      </w:r>
    </w:p>
    <w:p>
      <w:pPr>
        <w:shd w:val="clear"/>
        <w:spacing w:line="360" w:lineRule="exact"/>
        <w:ind w:left="13" w:leftChars="5" w:right="-182" w:rightChars="-70" w:firstLine="520" w:firstLineChars="200"/>
        <w:jc w:val="right"/>
        <w:rPr>
          <w:rFonts w:hint="default" w:asciiTheme="minorEastAsia" w:hAnsiTheme="minorEastAsia" w:eastAsiaTheme="minorEastAsia"/>
          <w:color w:val="auto"/>
          <w:szCs w:val="24"/>
          <w:lang w:val="en-US" w:eastAsia="zh-CN"/>
        </w:rPr>
      </w:pPr>
      <w:r>
        <w:rPr>
          <w:rFonts w:hint="eastAsia" w:asciiTheme="minorEastAsia" w:hAnsiTheme="minorEastAsia" w:eastAsiaTheme="minorEastAsia"/>
          <w:color w:val="auto"/>
          <w:szCs w:val="24"/>
        </w:rPr>
        <w:t>十五、其他需要说明的事项………………………………………………</w:t>
      </w:r>
      <w:r>
        <w:rPr>
          <w:rFonts w:hint="eastAsia" w:asciiTheme="minorEastAsia" w:hAnsiTheme="minorEastAsia" w:eastAsiaTheme="minorEastAsia"/>
          <w:color w:val="auto"/>
          <w:szCs w:val="24"/>
          <w:lang w:val="en-US" w:eastAsia="zh-CN"/>
        </w:rPr>
        <w:t>27</w:t>
      </w:r>
    </w:p>
    <w:p>
      <w:pPr>
        <w:shd w:val="clear"/>
        <w:spacing w:line="360" w:lineRule="exact"/>
        <w:ind w:right="-182" w:rightChars="-70"/>
        <w:jc w:val="right"/>
        <w:rPr>
          <w:rFonts w:hint="default" w:asciiTheme="minorEastAsia" w:hAnsiTheme="minorEastAsia" w:eastAsiaTheme="minorEastAsia"/>
          <w:color w:val="auto"/>
          <w:szCs w:val="24"/>
          <w:lang w:val="en-US" w:eastAsia="zh-CN"/>
        </w:rPr>
      </w:pPr>
      <w:r>
        <w:rPr>
          <w:rFonts w:hint="eastAsia" w:asciiTheme="minorEastAsia" w:hAnsiTheme="minorEastAsia" w:eastAsiaTheme="minorEastAsia"/>
          <w:b/>
          <w:color w:val="auto"/>
          <w:szCs w:val="24"/>
        </w:rPr>
        <w:t xml:space="preserve">附  件 </w:t>
      </w:r>
      <w:r>
        <w:rPr>
          <w:rFonts w:hint="eastAsia" w:asciiTheme="minorEastAsia" w:hAnsiTheme="minorEastAsia" w:eastAsiaTheme="minorEastAsia"/>
          <w:color w:val="auto"/>
          <w:szCs w:val="24"/>
        </w:rPr>
        <w:t>…………………………………………………………………………</w:t>
      </w:r>
      <w:r>
        <w:rPr>
          <w:rFonts w:hint="eastAsia" w:asciiTheme="minorEastAsia" w:hAnsiTheme="minorEastAsia" w:eastAsiaTheme="minorEastAsia"/>
          <w:color w:val="auto"/>
          <w:szCs w:val="24"/>
          <w:lang w:val="en-US" w:eastAsia="zh-CN"/>
        </w:rPr>
        <w:t>28</w:t>
      </w:r>
    </w:p>
    <w:p>
      <w:pPr>
        <w:shd w:val="clear"/>
        <w:spacing w:line="360" w:lineRule="exact"/>
        <w:ind w:left="533" w:leftChars="205" w:right="-182" w:rightChars="-70"/>
        <w:rPr>
          <w:rFonts w:hint="eastAsia" w:asciiTheme="minorEastAsia" w:hAnsiTheme="minorEastAsia" w:eastAsiaTheme="minorEastAsia"/>
          <w:color w:val="auto"/>
          <w:szCs w:val="24"/>
          <w:lang w:eastAsia="zh-CN"/>
        </w:rPr>
      </w:pPr>
      <w:r>
        <w:rPr>
          <w:rFonts w:hint="eastAsia" w:asciiTheme="minorEastAsia" w:hAnsiTheme="minorEastAsia" w:eastAsiaTheme="minorEastAsia"/>
          <w:color w:val="auto"/>
          <w:szCs w:val="24"/>
          <w:lang w:eastAsia="zh-CN"/>
        </w:rPr>
        <w:t>一、估价对象位置图</w:t>
      </w:r>
    </w:p>
    <w:p>
      <w:pPr>
        <w:shd w:val="clear"/>
        <w:spacing w:line="360" w:lineRule="exact"/>
        <w:ind w:left="533" w:leftChars="205" w:right="-182" w:rightChars="-70"/>
        <w:rPr>
          <w:rFonts w:hint="eastAsia" w:asciiTheme="minorEastAsia" w:hAnsiTheme="minorEastAsia" w:eastAsiaTheme="minorEastAsia"/>
          <w:color w:val="auto"/>
          <w:szCs w:val="24"/>
          <w:lang w:eastAsia="zh-CN"/>
        </w:rPr>
      </w:pPr>
      <w:r>
        <w:rPr>
          <w:rFonts w:hint="eastAsia" w:asciiTheme="minorEastAsia" w:hAnsiTheme="minorEastAsia" w:eastAsiaTheme="minorEastAsia"/>
          <w:color w:val="auto"/>
          <w:szCs w:val="24"/>
          <w:lang w:eastAsia="zh-CN"/>
        </w:rPr>
        <w:t>二、估价对象委托书复印件</w:t>
      </w:r>
    </w:p>
    <w:p>
      <w:pPr>
        <w:shd w:val="clear"/>
        <w:spacing w:line="360" w:lineRule="exact"/>
        <w:ind w:left="533" w:leftChars="205" w:right="-182" w:rightChars="-70"/>
        <w:rPr>
          <w:rFonts w:hint="eastAsia" w:asciiTheme="minorEastAsia" w:hAnsiTheme="minorEastAsia" w:eastAsiaTheme="minorEastAsia"/>
          <w:color w:val="auto"/>
          <w:szCs w:val="24"/>
          <w:lang w:eastAsia="zh-CN"/>
        </w:rPr>
      </w:pPr>
      <w:r>
        <w:rPr>
          <w:rFonts w:hint="eastAsia" w:asciiTheme="minorEastAsia" w:hAnsiTheme="minorEastAsia" w:eastAsiaTheme="minorEastAsia"/>
          <w:color w:val="auto"/>
          <w:szCs w:val="24"/>
          <w:lang w:eastAsia="zh-CN"/>
        </w:rPr>
        <w:t>三、估价对象实地查勘情况和相关照片</w:t>
      </w:r>
    </w:p>
    <w:p>
      <w:pPr>
        <w:shd w:val="clear"/>
        <w:spacing w:line="360" w:lineRule="exact"/>
        <w:ind w:left="533" w:leftChars="205" w:right="-182" w:rightChars="-70"/>
        <w:rPr>
          <w:rFonts w:hint="eastAsia" w:asciiTheme="minorEastAsia" w:hAnsiTheme="minorEastAsia" w:eastAsiaTheme="minorEastAsia"/>
          <w:color w:val="auto"/>
          <w:szCs w:val="24"/>
          <w:lang w:eastAsia="zh-CN"/>
        </w:rPr>
      </w:pPr>
      <w:r>
        <w:rPr>
          <w:rFonts w:hint="eastAsia" w:asciiTheme="minorEastAsia" w:hAnsiTheme="minorEastAsia" w:eastAsiaTheme="minorEastAsia"/>
          <w:color w:val="auto"/>
          <w:szCs w:val="24"/>
          <w:lang w:eastAsia="zh-CN"/>
        </w:rPr>
        <w:t>四、估价对象《国有土地使用证》、《房地产权证》等复</w:t>
      </w:r>
      <w:bookmarkStart w:id="13" w:name="_GoBack"/>
      <w:bookmarkEnd w:id="13"/>
      <w:r>
        <w:rPr>
          <w:rFonts w:hint="eastAsia" w:asciiTheme="minorEastAsia" w:hAnsiTheme="minorEastAsia" w:eastAsiaTheme="minorEastAsia"/>
          <w:color w:val="auto"/>
          <w:szCs w:val="24"/>
          <w:lang w:eastAsia="zh-CN"/>
        </w:rPr>
        <w:t>印件</w:t>
      </w:r>
    </w:p>
    <w:p>
      <w:pPr>
        <w:shd w:val="clear"/>
        <w:spacing w:line="360" w:lineRule="exact"/>
        <w:ind w:left="533" w:leftChars="205" w:right="-182" w:rightChars="-70"/>
        <w:rPr>
          <w:rFonts w:hint="eastAsia" w:asciiTheme="minorEastAsia" w:hAnsiTheme="minorEastAsia" w:eastAsiaTheme="minorEastAsia"/>
          <w:color w:val="auto"/>
          <w:szCs w:val="24"/>
          <w:lang w:eastAsia="zh-CN"/>
        </w:rPr>
      </w:pPr>
      <w:r>
        <w:rPr>
          <w:rFonts w:hint="eastAsia" w:asciiTheme="minorEastAsia" w:hAnsiTheme="minorEastAsia" w:eastAsiaTheme="minorEastAsia"/>
          <w:color w:val="auto"/>
          <w:szCs w:val="24"/>
          <w:lang w:eastAsia="zh-CN"/>
        </w:rPr>
        <w:t>五、估价机构营业执照和估价资质证书复印件</w:t>
      </w:r>
    </w:p>
    <w:p>
      <w:pPr>
        <w:shd w:val="clear"/>
        <w:spacing w:line="360" w:lineRule="exact"/>
        <w:ind w:left="533" w:leftChars="205" w:right="-182" w:rightChars="-70"/>
        <w:rPr>
          <w:rFonts w:asciiTheme="minorEastAsia" w:hAnsiTheme="minorEastAsia" w:eastAsiaTheme="minorEastAsia"/>
          <w:b/>
          <w:color w:val="auto"/>
          <w:sz w:val="36"/>
          <w:szCs w:val="36"/>
        </w:rPr>
      </w:pPr>
      <w:r>
        <w:rPr>
          <w:rFonts w:hint="eastAsia" w:asciiTheme="minorEastAsia" w:hAnsiTheme="minorEastAsia" w:eastAsiaTheme="minorEastAsia"/>
          <w:color w:val="auto"/>
          <w:szCs w:val="24"/>
          <w:lang w:eastAsia="zh-CN"/>
        </w:rPr>
        <w:t>六、注册房地产估价师资格证书复印件</w:t>
      </w:r>
      <w:bookmarkStart w:id="0" w:name="_Toc239750997"/>
    </w:p>
    <w:p>
      <w:pPr>
        <w:shd w:val="clear"/>
        <w:spacing w:line="520" w:lineRule="exact"/>
        <w:jc w:val="center"/>
        <w:rPr>
          <w:rFonts w:hint="eastAsia" w:asciiTheme="minorEastAsia" w:hAnsiTheme="minorEastAsia" w:eastAsiaTheme="minorEastAsia"/>
          <w:b/>
          <w:color w:val="auto"/>
          <w:sz w:val="36"/>
          <w:szCs w:val="36"/>
        </w:rPr>
      </w:pPr>
    </w:p>
    <w:p>
      <w:pPr>
        <w:shd w:val="clear"/>
        <w:spacing w:line="520" w:lineRule="exact"/>
        <w:jc w:val="center"/>
        <w:rPr>
          <w:rFonts w:hint="eastAsia" w:asciiTheme="minorEastAsia" w:hAnsiTheme="minorEastAsia" w:eastAsiaTheme="minorEastAsia"/>
          <w:b/>
          <w:color w:val="auto"/>
          <w:sz w:val="36"/>
          <w:szCs w:val="36"/>
        </w:rPr>
      </w:pPr>
    </w:p>
    <w:p>
      <w:pPr>
        <w:shd w:val="clear"/>
        <w:spacing w:line="520" w:lineRule="exact"/>
        <w:jc w:val="center"/>
        <w:rPr>
          <w:rFonts w:hint="eastAsia" w:asciiTheme="minorEastAsia" w:hAnsiTheme="minorEastAsia" w:eastAsiaTheme="minorEastAsia"/>
          <w:b/>
          <w:color w:val="auto"/>
          <w:sz w:val="36"/>
          <w:szCs w:val="36"/>
        </w:rPr>
      </w:pPr>
    </w:p>
    <w:p>
      <w:pPr>
        <w:shd w:val="clear"/>
        <w:spacing w:line="520" w:lineRule="exact"/>
        <w:jc w:val="center"/>
        <w:rPr>
          <w:rFonts w:hint="eastAsia" w:asciiTheme="minorEastAsia" w:hAnsiTheme="minorEastAsia" w:eastAsiaTheme="minorEastAsia"/>
          <w:b/>
          <w:color w:val="auto"/>
          <w:sz w:val="36"/>
          <w:szCs w:val="36"/>
        </w:rPr>
      </w:pPr>
    </w:p>
    <w:p>
      <w:pPr>
        <w:shd w:val="clear"/>
        <w:spacing w:line="520" w:lineRule="exact"/>
        <w:jc w:val="center"/>
        <w:rPr>
          <w:rFonts w:hint="eastAsia" w:asciiTheme="minorEastAsia" w:hAnsiTheme="minorEastAsia" w:eastAsiaTheme="minorEastAsia"/>
          <w:b/>
          <w:color w:val="auto"/>
          <w:sz w:val="36"/>
          <w:szCs w:val="36"/>
        </w:rPr>
      </w:pPr>
    </w:p>
    <w:p>
      <w:pPr>
        <w:shd w:val="clear"/>
        <w:spacing w:line="520" w:lineRule="exact"/>
        <w:jc w:val="center"/>
        <w:rPr>
          <w:rFonts w:hint="eastAsia" w:asciiTheme="minorEastAsia" w:hAnsiTheme="minorEastAsia" w:eastAsiaTheme="minorEastAsia"/>
          <w:b/>
          <w:color w:val="auto"/>
          <w:sz w:val="36"/>
          <w:szCs w:val="36"/>
        </w:rPr>
      </w:pPr>
    </w:p>
    <w:p>
      <w:pPr>
        <w:shd w:val="clear"/>
        <w:spacing w:line="520" w:lineRule="exact"/>
        <w:jc w:val="both"/>
        <w:rPr>
          <w:rFonts w:hint="eastAsia" w:asciiTheme="minorEastAsia" w:hAnsiTheme="minorEastAsia" w:eastAsiaTheme="minorEastAsia"/>
          <w:b/>
          <w:color w:val="auto"/>
          <w:sz w:val="36"/>
          <w:szCs w:val="36"/>
        </w:rPr>
      </w:pPr>
    </w:p>
    <w:p>
      <w:pPr>
        <w:shd w:val="clear"/>
        <w:spacing w:line="520" w:lineRule="exact"/>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估 价 师 声 明</w:t>
      </w:r>
    </w:p>
    <w:p>
      <w:pPr>
        <w:shd w:val="clear"/>
        <w:spacing w:line="520" w:lineRule="exact"/>
        <w:jc w:val="center"/>
        <w:rPr>
          <w:rFonts w:asciiTheme="minorEastAsia" w:hAnsiTheme="minorEastAsia" w:eastAsiaTheme="minorEastAsia"/>
          <w:color w:val="auto"/>
          <w:spacing w:val="0"/>
        </w:rPr>
      </w:pPr>
    </w:p>
    <w:p>
      <w:pPr>
        <w:shd w:val="clear"/>
        <w:spacing w:line="520" w:lineRule="exact"/>
        <w:rPr>
          <w:rFonts w:asciiTheme="minorEastAsia" w:hAnsiTheme="minorEastAsia" w:eastAsiaTheme="minorEastAsia"/>
          <w:color w:val="auto"/>
          <w:spacing w:val="0"/>
        </w:rPr>
      </w:pPr>
      <w:r>
        <w:rPr>
          <w:rFonts w:hint="eastAsia" w:asciiTheme="minorEastAsia" w:hAnsiTheme="minorEastAsia" w:eastAsiaTheme="minorEastAsia"/>
          <w:color w:val="auto"/>
          <w:spacing w:val="0"/>
        </w:rPr>
        <w:t>根据我们的专业和估价职业道德，在此郑重声明：</w:t>
      </w:r>
    </w:p>
    <w:p>
      <w:pPr>
        <w:shd w:val="clear"/>
        <w:spacing w:line="520" w:lineRule="exact"/>
        <w:ind w:firstLine="480" w:firstLineChars="200"/>
        <w:rPr>
          <w:rFonts w:asciiTheme="minorEastAsia" w:hAnsiTheme="minorEastAsia" w:eastAsiaTheme="minorEastAsia"/>
          <w:color w:val="auto"/>
          <w:spacing w:val="0"/>
        </w:rPr>
      </w:pPr>
      <w:r>
        <w:rPr>
          <w:rFonts w:hint="eastAsia" w:asciiTheme="minorEastAsia" w:hAnsiTheme="minorEastAsia" w:eastAsiaTheme="minorEastAsia"/>
          <w:color w:val="auto"/>
          <w:spacing w:val="0"/>
        </w:rPr>
        <w:t>1、注册房地产估价师在本估价报告中对事实的说明是真实的和准确的，没有虚假记载、误导性陈述和重大遗漏。</w:t>
      </w:r>
    </w:p>
    <w:p>
      <w:pPr>
        <w:shd w:val="clear"/>
        <w:spacing w:line="520" w:lineRule="exact"/>
        <w:ind w:firstLine="480" w:firstLineChars="200"/>
        <w:rPr>
          <w:rFonts w:asciiTheme="minorEastAsia" w:hAnsiTheme="minorEastAsia" w:eastAsiaTheme="minorEastAsia"/>
          <w:color w:val="auto"/>
          <w:spacing w:val="0"/>
        </w:rPr>
      </w:pPr>
      <w:r>
        <w:rPr>
          <w:rFonts w:hint="eastAsia" w:asciiTheme="minorEastAsia" w:hAnsiTheme="minorEastAsia" w:eastAsiaTheme="minorEastAsia"/>
          <w:color w:val="auto"/>
          <w:spacing w:val="0"/>
        </w:rPr>
        <w:t>2、估价报告中的分析、意见和结论是注册房地产估价师独立、客观、公正的专业分析、意见和结论，但受到估价报告中已说明的假设和限制条件的限制。</w:t>
      </w:r>
    </w:p>
    <w:p>
      <w:pPr>
        <w:shd w:val="clear"/>
        <w:spacing w:line="520" w:lineRule="exact"/>
        <w:ind w:firstLine="480" w:firstLineChars="200"/>
        <w:rPr>
          <w:rFonts w:asciiTheme="minorEastAsia" w:hAnsiTheme="minorEastAsia" w:eastAsiaTheme="minorEastAsia"/>
          <w:color w:val="auto"/>
          <w:spacing w:val="0"/>
        </w:rPr>
      </w:pPr>
      <w:r>
        <w:rPr>
          <w:rFonts w:hint="eastAsia" w:asciiTheme="minorEastAsia" w:hAnsiTheme="minorEastAsia" w:eastAsiaTheme="minorEastAsia"/>
          <w:color w:val="auto"/>
          <w:spacing w:val="0"/>
        </w:rPr>
        <w:t>3、注册房地产估价师与估价报告中的估价对象没有现实或潜在的利益，与估价委托人及估价利害关系人没有利害关系，也对估价对象、估价委托人及估价利害关系人没有偏见。</w:t>
      </w:r>
    </w:p>
    <w:p>
      <w:pPr>
        <w:shd w:val="clear"/>
        <w:spacing w:line="520" w:lineRule="exact"/>
        <w:ind w:firstLine="480" w:firstLineChars="200"/>
        <w:rPr>
          <w:rFonts w:asciiTheme="minorEastAsia" w:hAnsiTheme="minorEastAsia" w:eastAsiaTheme="minorEastAsia"/>
          <w:color w:val="auto"/>
          <w:spacing w:val="0"/>
        </w:rPr>
      </w:pPr>
      <w:r>
        <w:rPr>
          <w:rFonts w:hint="eastAsia" w:asciiTheme="minorEastAsia" w:hAnsiTheme="minorEastAsia" w:eastAsiaTheme="minorEastAsia"/>
          <w:color w:val="auto"/>
          <w:spacing w:val="0"/>
        </w:rPr>
        <w:t>4、注册房地产估价师是按照有关房地产估价标准的规定进行估价工作，撰写估价报告。</w:t>
      </w:r>
    </w:p>
    <w:p>
      <w:pPr>
        <w:shd w:val="clear"/>
        <w:spacing w:line="520" w:lineRule="exact"/>
        <w:ind w:firstLine="480" w:firstLineChars="200"/>
        <w:rPr>
          <w:rFonts w:asciiTheme="minorEastAsia" w:hAnsiTheme="minorEastAsia" w:eastAsiaTheme="minorEastAsia"/>
          <w:color w:val="auto"/>
          <w:spacing w:val="0"/>
        </w:rPr>
      </w:pPr>
      <w:r>
        <w:rPr>
          <w:rFonts w:hint="eastAsia" w:asciiTheme="minorEastAsia" w:hAnsiTheme="minorEastAsia" w:eastAsiaTheme="minorEastAsia"/>
          <w:color w:val="auto"/>
          <w:spacing w:val="0"/>
        </w:rPr>
        <w:t>5、我公司注册房地产估价</w:t>
      </w:r>
      <w:r>
        <w:rPr>
          <w:rFonts w:hint="eastAsia" w:asciiTheme="minorEastAsia" w:hAnsiTheme="minorEastAsia" w:eastAsiaTheme="minorEastAsia"/>
          <w:color w:val="auto"/>
          <w:spacing w:val="0"/>
          <w:lang w:eastAsia="zh-CN"/>
        </w:rPr>
        <w:t>师</w:t>
      </w:r>
      <w:r>
        <w:rPr>
          <w:rFonts w:hint="eastAsia" w:ascii="宋体" w:hAnsi="宋体" w:eastAsiaTheme="minorEastAsia"/>
          <w:color w:val="auto"/>
          <w:spacing w:val="0"/>
          <w:lang w:eastAsia="zh-CN"/>
        </w:rPr>
        <w:t>程磊</w:t>
      </w:r>
      <w:r>
        <w:rPr>
          <w:rFonts w:hint="eastAsia" w:ascii="宋体" w:hAnsi="宋体"/>
          <w:color w:val="auto"/>
          <w:spacing w:val="0"/>
        </w:rPr>
        <w:t>（</w:t>
      </w:r>
      <w:r>
        <w:rPr>
          <w:rFonts w:hint="eastAsia" w:ascii="宋体" w:hAnsi="宋体"/>
          <w:color w:val="auto"/>
          <w:spacing w:val="0"/>
          <w:szCs w:val="22"/>
          <w:lang w:eastAsia="zh-CN"/>
        </w:rPr>
        <w:t>3420180024</w:t>
      </w:r>
      <w:r>
        <w:rPr>
          <w:rFonts w:hint="eastAsia" w:ascii="宋体" w:hAnsi="宋体"/>
          <w:color w:val="auto"/>
          <w:spacing w:val="0"/>
        </w:rPr>
        <w:t>）、侯金刚（</w:t>
      </w:r>
      <w:r>
        <w:rPr>
          <w:rFonts w:hint="eastAsia" w:ascii="宋体" w:hAnsi="宋体"/>
          <w:color w:val="auto"/>
          <w:spacing w:val="0"/>
          <w:szCs w:val="22"/>
        </w:rPr>
        <w:t>3420200062</w:t>
      </w:r>
      <w:r>
        <w:rPr>
          <w:rFonts w:hint="eastAsia" w:ascii="宋体" w:hAnsi="宋体"/>
          <w:color w:val="auto"/>
          <w:spacing w:val="0"/>
        </w:rPr>
        <w:t>）</w:t>
      </w:r>
      <w:r>
        <w:rPr>
          <w:rFonts w:hint="eastAsia" w:asciiTheme="minorEastAsia" w:hAnsiTheme="minorEastAsia" w:eastAsiaTheme="minorEastAsia"/>
          <w:color w:val="auto"/>
          <w:spacing w:val="0"/>
        </w:rPr>
        <w:t>对本估价报告中的估价对象在</w:t>
      </w:r>
      <w:r>
        <w:rPr>
          <w:rFonts w:hint="eastAsia" w:asciiTheme="minorEastAsia" w:hAnsiTheme="minorEastAsia" w:eastAsiaTheme="minorEastAsia"/>
          <w:color w:val="auto"/>
          <w:spacing w:val="0"/>
          <w:lang w:eastAsia="zh-CN"/>
        </w:rPr>
        <w:t>2023年09月13日</w:t>
      </w:r>
      <w:r>
        <w:rPr>
          <w:rFonts w:hint="eastAsia" w:asciiTheme="minorEastAsia" w:hAnsiTheme="minorEastAsia" w:eastAsiaTheme="minorEastAsia"/>
          <w:color w:val="auto"/>
          <w:spacing w:val="0"/>
        </w:rPr>
        <w:t>进行了实地查勘。</w:t>
      </w:r>
    </w:p>
    <w:p>
      <w:pPr>
        <w:shd w:val="clear"/>
        <w:spacing w:line="520" w:lineRule="exact"/>
        <w:ind w:firstLine="480" w:firstLineChars="200"/>
        <w:rPr>
          <w:rFonts w:ascii="宋体" w:hAnsi="宋体"/>
          <w:color w:val="auto"/>
          <w:spacing w:val="0"/>
        </w:rPr>
      </w:pPr>
      <w:r>
        <w:rPr>
          <w:rFonts w:hint="eastAsia" w:ascii="宋体" w:hAnsi="宋体"/>
          <w:color w:val="auto"/>
          <w:spacing w:val="0"/>
        </w:rPr>
        <w:t>我们对估价对象的实地查勘仅限于其外观和使用状况，对被遮盖、未暴露及难以接触到的部分，依据委托人提供的资料以及当前建筑行业的一般标准或相关规范，</w:t>
      </w:r>
      <w:r>
        <w:rPr>
          <w:rFonts w:hint="eastAsia" w:ascii="宋体" w:hAnsi="宋体"/>
          <w:color w:val="auto"/>
          <w:spacing w:val="0"/>
          <w:szCs w:val="24"/>
        </w:rPr>
        <w:t>假设估价对象符合国家有关技术、质量、验收标准</w:t>
      </w:r>
      <w:r>
        <w:rPr>
          <w:rFonts w:hint="eastAsia" w:ascii="宋体" w:hAnsi="宋体"/>
          <w:color w:val="auto"/>
          <w:spacing w:val="0"/>
        </w:rPr>
        <w:t>。我们不承担对估价对象建筑结构质量进行调查的责任。</w:t>
      </w:r>
    </w:p>
    <w:p>
      <w:pPr>
        <w:shd w:val="clear"/>
        <w:spacing w:line="520" w:lineRule="exact"/>
        <w:ind w:firstLine="480" w:firstLineChars="200"/>
        <w:rPr>
          <w:rFonts w:asciiTheme="minorEastAsia" w:hAnsiTheme="minorEastAsia" w:eastAsiaTheme="minorEastAsia"/>
          <w:color w:val="auto"/>
          <w:spacing w:val="0"/>
        </w:rPr>
      </w:pPr>
      <w:r>
        <w:rPr>
          <w:rFonts w:hint="eastAsia" w:asciiTheme="minorEastAsia" w:hAnsiTheme="minorEastAsia" w:eastAsiaTheme="minorEastAsia"/>
          <w:color w:val="auto"/>
          <w:spacing w:val="0"/>
        </w:rPr>
        <w:t>6、除参与本次评估的注册房地产估价师外，没有其他人对本估价报告提供重要专业帮助。</w:t>
      </w:r>
    </w:p>
    <w:bookmarkEnd w:id="0"/>
    <w:p>
      <w:pPr>
        <w:shd w:val="clear"/>
        <w:spacing w:line="520" w:lineRule="exact"/>
        <w:ind w:firstLine="480" w:firstLineChars="200"/>
        <w:rPr>
          <w:rFonts w:hint="eastAsia" w:ascii="宋体" w:hAnsi="宋体" w:eastAsia="宋体"/>
          <w:color w:val="auto"/>
          <w:spacing w:val="0"/>
          <w:lang w:eastAsia="zh-CN"/>
        </w:rPr>
      </w:pPr>
      <w:r>
        <w:rPr>
          <w:rFonts w:ascii="宋体" w:hAnsi="宋体"/>
          <w:color w:val="auto"/>
          <w:spacing w:val="0"/>
        </w:rPr>
        <w:t>7</w:t>
      </w:r>
      <w:r>
        <w:rPr>
          <w:rFonts w:hint="eastAsia" w:ascii="宋体" w:hAnsi="宋体"/>
          <w:color w:val="auto"/>
          <w:spacing w:val="0"/>
        </w:rPr>
        <w:t>、本估价报告是估价师根据估价目的，遵循估价原则，按照评估程序，采用科学合理的评估方法，在认真分析现有资料的基础上，经过测算，并结合估价经验，对影响房地产价格的各项因素进行分析，</w:t>
      </w:r>
      <w:r>
        <w:rPr>
          <w:rFonts w:hint="eastAsia" w:ascii="宋体" w:hAnsi="宋体"/>
          <w:color w:val="auto"/>
          <w:spacing w:val="0"/>
          <w:lang w:eastAsia="zh-CN"/>
        </w:rPr>
        <w:t>为人民法院确定财产处置参考价提供参考依据。</w:t>
      </w:r>
    </w:p>
    <w:p>
      <w:pPr>
        <w:shd w:val="clear"/>
        <w:spacing w:line="520" w:lineRule="exact"/>
        <w:jc w:val="center"/>
        <w:rPr>
          <w:rFonts w:asciiTheme="minorEastAsia" w:hAnsiTheme="minorEastAsia" w:eastAsiaTheme="minorEastAsia"/>
          <w:b/>
          <w:color w:val="auto"/>
          <w:spacing w:val="0"/>
          <w:sz w:val="44"/>
          <w:szCs w:val="44"/>
        </w:rPr>
      </w:pPr>
    </w:p>
    <w:p>
      <w:pPr>
        <w:shd w:val="clear"/>
        <w:spacing w:line="520" w:lineRule="exact"/>
        <w:jc w:val="center"/>
        <w:rPr>
          <w:rFonts w:asciiTheme="minorEastAsia" w:hAnsiTheme="minorEastAsia" w:eastAsiaTheme="minorEastAsia"/>
          <w:b/>
          <w:color w:val="auto"/>
          <w:spacing w:val="0"/>
          <w:sz w:val="44"/>
          <w:szCs w:val="44"/>
        </w:rPr>
      </w:pPr>
    </w:p>
    <w:p>
      <w:pPr>
        <w:shd w:val="clear"/>
        <w:spacing w:line="520" w:lineRule="exact"/>
        <w:jc w:val="center"/>
        <w:rPr>
          <w:rFonts w:asciiTheme="minorEastAsia" w:hAnsiTheme="minorEastAsia" w:eastAsiaTheme="minorEastAsia"/>
          <w:b/>
          <w:color w:val="auto"/>
          <w:spacing w:val="0"/>
          <w:sz w:val="36"/>
          <w:szCs w:val="36"/>
        </w:rPr>
      </w:pPr>
      <w:r>
        <w:rPr>
          <w:rFonts w:hint="eastAsia" w:asciiTheme="minorEastAsia" w:hAnsiTheme="minorEastAsia" w:eastAsiaTheme="minorEastAsia"/>
          <w:b/>
          <w:color w:val="auto"/>
          <w:spacing w:val="0"/>
          <w:sz w:val="36"/>
          <w:szCs w:val="36"/>
        </w:rPr>
        <w:t>估价的假设和限制条件</w:t>
      </w:r>
    </w:p>
    <w:p>
      <w:pPr>
        <w:shd w:val="clear"/>
        <w:spacing w:line="520" w:lineRule="exact"/>
        <w:jc w:val="center"/>
        <w:rPr>
          <w:rFonts w:asciiTheme="minorEastAsia" w:hAnsiTheme="minorEastAsia" w:eastAsiaTheme="minorEastAsia"/>
          <w:b/>
          <w:color w:val="auto"/>
          <w:spacing w:val="0"/>
          <w:sz w:val="36"/>
          <w:szCs w:val="36"/>
        </w:rPr>
      </w:pPr>
    </w:p>
    <w:p>
      <w:pPr>
        <w:pStyle w:val="10"/>
        <w:shd w:val="clear"/>
        <w:spacing w:line="52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一、估价假设条件</w:t>
      </w:r>
    </w:p>
    <w:p>
      <w:pPr>
        <w:shd w:val="clear"/>
        <w:spacing w:line="520" w:lineRule="exact"/>
        <w:ind w:firstLine="482" w:firstLineChars="200"/>
        <w:rPr>
          <w:rFonts w:ascii="宋体" w:hAnsi="宋体" w:cs="宋体"/>
          <w:color w:val="auto"/>
          <w:spacing w:val="0"/>
          <w:kern w:val="0"/>
          <w:szCs w:val="24"/>
        </w:rPr>
      </w:pPr>
      <w:bookmarkStart w:id="1" w:name="_Toc239751007"/>
      <w:r>
        <w:rPr>
          <w:rFonts w:hint="eastAsia" w:ascii="宋体" w:hAnsi="宋体" w:cs="宋体"/>
          <w:b/>
          <w:color w:val="auto"/>
          <w:spacing w:val="0"/>
          <w:kern w:val="0"/>
          <w:szCs w:val="24"/>
        </w:rPr>
        <w:t>一般假设：</w:t>
      </w:r>
      <w:r>
        <w:rPr>
          <w:rFonts w:hint="eastAsia" w:ascii="宋体" w:hAnsi="宋体" w:cs="宋体"/>
          <w:color w:val="auto"/>
          <w:spacing w:val="0"/>
          <w:kern w:val="0"/>
          <w:szCs w:val="24"/>
        </w:rPr>
        <w:t>主要包含房地产市场及交易条件通用假设和估价项目常用假设。</w:t>
      </w:r>
    </w:p>
    <w:p>
      <w:pPr>
        <w:shd w:val="clear"/>
        <w:spacing w:line="520" w:lineRule="exact"/>
        <w:ind w:firstLine="480" w:firstLineChars="200"/>
        <w:rPr>
          <w:rFonts w:ascii="宋体" w:hAnsi="宋体"/>
          <w:color w:val="auto"/>
          <w:spacing w:val="0"/>
          <w:szCs w:val="24"/>
        </w:rPr>
      </w:pPr>
      <w:r>
        <w:rPr>
          <w:rFonts w:ascii="宋体" w:hAnsi="宋体" w:cs="宋体"/>
          <w:color w:val="auto"/>
          <w:spacing w:val="0"/>
          <w:kern w:val="0"/>
          <w:szCs w:val="24"/>
        </w:rPr>
        <w:t>1</w:t>
      </w:r>
      <w:r>
        <w:rPr>
          <w:rFonts w:hint="eastAsia" w:ascii="宋体" w:hAnsi="宋体" w:cs="宋体"/>
          <w:color w:val="auto"/>
          <w:spacing w:val="0"/>
          <w:kern w:val="0"/>
          <w:szCs w:val="24"/>
        </w:rPr>
        <w:t>、【对权属证书审慎检查但未核实】估价委托人提供了估价对象的《</w:t>
      </w:r>
      <w:r>
        <w:rPr>
          <w:rFonts w:hint="eastAsia" w:ascii="宋体" w:hAnsi="宋体" w:cs="宋体"/>
          <w:color w:val="auto"/>
          <w:spacing w:val="0"/>
          <w:kern w:val="0"/>
          <w:szCs w:val="24"/>
          <w:lang w:eastAsia="zh-CN"/>
        </w:rPr>
        <w:t>国有土地使用证</w:t>
      </w:r>
      <w:r>
        <w:rPr>
          <w:rFonts w:hint="eastAsia" w:ascii="宋体" w:hAnsi="宋体" w:cs="宋体"/>
          <w:color w:val="auto"/>
          <w:spacing w:val="0"/>
          <w:kern w:val="0"/>
          <w:szCs w:val="24"/>
        </w:rPr>
        <w:t>》</w:t>
      </w:r>
      <w:r>
        <w:rPr>
          <w:rFonts w:hint="eastAsia" w:ascii="宋体" w:hAnsi="宋体" w:cs="宋体"/>
          <w:color w:val="auto"/>
          <w:spacing w:val="0"/>
          <w:kern w:val="0"/>
          <w:szCs w:val="24"/>
          <w:lang w:eastAsia="zh-CN"/>
        </w:rPr>
        <w:t>、《房地产权证》、《他项权证》、《六安市不动产权登记一体化平台业务查询》</w:t>
      </w:r>
      <w:r>
        <w:rPr>
          <w:rFonts w:hint="eastAsia" w:ascii="宋体" w:hAnsi="宋体" w:cs="宋体"/>
          <w:color w:val="auto"/>
          <w:spacing w:val="0"/>
          <w:kern w:val="0"/>
          <w:szCs w:val="24"/>
        </w:rPr>
        <w:t>复印件</w:t>
      </w:r>
      <w:r>
        <w:rPr>
          <w:rFonts w:hint="eastAsia" w:ascii="宋体" w:hAnsi="宋体" w:cs="宋体"/>
          <w:color w:val="auto"/>
          <w:spacing w:val="0"/>
          <w:kern w:val="0"/>
          <w:szCs w:val="24"/>
          <w:lang w:eastAsia="zh-CN"/>
        </w:rPr>
        <w:t>等资料</w:t>
      </w:r>
      <w:r>
        <w:rPr>
          <w:rFonts w:hint="eastAsia" w:ascii="宋体" w:hAnsi="宋体" w:cs="宋体"/>
          <w:color w:val="auto"/>
          <w:spacing w:val="0"/>
          <w:kern w:val="0"/>
          <w:szCs w:val="24"/>
        </w:rPr>
        <w:t>，我们未向政府有关部门进行核实，在无理由怀疑其合法性、真实性、准确性和完整性的情况下，假定估价委托人提供的资料合法、真实、准确、完整。</w:t>
      </w:r>
    </w:p>
    <w:p>
      <w:pPr>
        <w:shd w:val="clear"/>
        <w:spacing w:line="520" w:lineRule="exact"/>
        <w:ind w:firstLine="480" w:firstLineChars="200"/>
        <w:rPr>
          <w:rFonts w:ascii="宋体" w:hAnsi="宋体" w:cs="宋体"/>
          <w:color w:val="auto"/>
          <w:spacing w:val="0"/>
          <w:kern w:val="0"/>
          <w:szCs w:val="24"/>
        </w:rPr>
      </w:pPr>
      <w:r>
        <w:rPr>
          <w:rFonts w:ascii="宋体" w:hAnsi="宋体" w:cs="宋体"/>
          <w:color w:val="auto"/>
          <w:spacing w:val="0"/>
          <w:kern w:val="0"/>
          <w:szCs w:val="24"/>
        </w:rPr>
        <w:t>2</w:t>
      </w:r>
      <w:r>
        <w:rPr>
          <w:rFonts w:hint="eastAsia" w:ascii="宋体" w:hAnsi="宋体" w:cs="宋体"/>
          <w:color w:val="auto"/>
          <w:spacing w:val="0"/>
          <w:kern w:val="0"/>
          <w:szCs w:val="24"/>
        </w:rPr>
        <w:t>、【对房屋安全、环境污染关注但无鉴定、检测】注册房地产估价师已对房屋安全、环境污染等影响估价对象价值的重大因素给予了关注，在无理由怀疑估价对象存在安全隐患且无相应的专业机构进行鉴定、检测的情况下，假定估价对象能正常安全使用。</w:t>
      </w:r>
    </w:p>
    <w:p>
      <w:pPr>
        <w:shd w:val="clear"/>
        <w:spacing w:line="520" w:lineRule="exact"/>
        <w:ind w:firstLine="480" w:firstLineChars="200"/>
        <w:rPr>
          <w:rFonts w:ascii="宋体" w:hAnsi="宋体" w:cs="宋体"/>
          <w:color w:val="auto"/>
          <w:spacing w:val="0"/>
          <w:kern w:val="0"/>
          <w:szCs w:val="24"/>
        </w:rPr>
      </w:pPr>
      <w:r>
        <w:rPr>
          <w:rFonts w:ascii="宋体" w:hAnsi="宋体" w:cs="宋体"/>
          <w:color w:val="auto"/>
          <w:spacing w:val="0"/>
          <w:kern w:val="0"/>
          <w:szCs w:val="24"/>
        </w:rPr>
        <w:t>3</w:t>
      </w:r>
      <w:r>
        <w:rPr>
          <w:rFonts w:hint="eastAsia" w:ascii="宋体" w:hAnsi="宋体" w:cs="宋体"/>
          <w:color w:val="auto"/>
          <w:spacing w:val="0"/>
          <w:kern w:val="0"/>
          <w:szCs w:val="24"/>
        </w:rPr>
        <w:t>、【对房地产市场的假设】估价对象在价值时点的房地产市场为公开、平等、自愿的交易市场，即能满足以下条件：</w:t>
      </w:r>
    </w:p>
    <w:p>
      <w:pPr>
        <w:shd w:val="clear"/>
        <w:spacing w:line="520" w:lineRule="exact"/>
        <w:ind w:firstLine="480" w:firstLineChars="200"/>
        <w:rPr>
          <w:rFonts w:ascii="宋体" w:hAnsi="宋体" w:cs="宋体"/>
          <w:color w:val="auto"/>
          <w:spacing w:val="0"/>
          <w:kern w:val="0"/>
          <w:szCs w:val="24"/>
        </w:rPr>
      </w:pPr>
      <w:r>
        <w:rPr>
          <w:rFonts w:hint="eastAsia" w:ascii="宋体" w:hAnsi="宋体" w:cs="宋体"/>
          <w:color w:val="auto"/>
          <w:spacing w:val="0"/>
          <w:kern w:val="0"/>
          <w:szCs w:val="24"/>
        </w:rPr>
        <w:t>（</w:t>
      </w:r>
      <w:r>
        <w:rPr>
          <w:rFonts w:ascii="宋体" w:hAnsi="宋体" w:cs="宋体"/>
          <w:color w:val="auto"/>
          <w:spacing w:val="0"/>
          <w:kern w:val="0"/>
          <w:szCs w:val="24"/>
        </w:rPr>
        <w:t>1</w:t>
      </w:r>
      <w:r>
        <w:rPr>
          <w:rFonts w:hint="eastAsia" w:ascii="宋体" w:hAnsi="宋体" w:cs="宋体"/>
          <w:color w:val="auto"/>
          <w:spacing w:val="0"/>
          <w:kern w:val="0"/>
          <w:szCs w:val="24"/>
        </w:rPr>
        <w:t>）交易双方自愿地进行交易；</w:t>
      </w:r>
    </w:p>
    <w:p>
      <w:pPr>
        <w:shd w:val="clear"/>
        <w:spacing w:line="520" w:lineRule="exact"/>
        <w:ind w:firstLine="480" w:firstLineChars="200"/>
        <w:rPr>
          <w:rFonts w:ascii="宋体" w:hAnsi="宋体" w:cs="宋体"/>
          <w:color w:val="auto"/>
          <w:spacing w:val="0"/>
          <w:kern w:val="0"/>
          <w:szCs w:val="24"/>
        </w:rPr>
      </w:pPr>
      <w:r>
        <w:rPr>
          <w:rFonts w:hint="eastAsia" w:ascii="宋体" w:hAnsi="宋体" w:cs="宋体"/>
          <w:color w:val="auto"/>
          <w:spacing w:val="0"/>
          <w:kern w:val="0"/>
          <w:szCs w:val="24"/>
        </w:rPr>
        <w:t>（</w:t>
      </w:r>
      <w:r>
        <w:rPr>
          <w:rFonts w:ascii="宋体" w:hAnsi="宋体" w:cs="宋体"/>
          <w:color w:val="auto"/>
          <w:spacing w:val="0"/>
          <w:kern w:val="0"/>
          <w:szCs w:val="24"/>
        </w:rPr>
        <w:t>2</w:t>
      </w:r>
      <w:r>
        <w:rPr>
          <w:rFonts w:hint="eastAsia" w:ascii="宋体" w:hAnsi="宋体" w:cs="宋体"/>
          <w:color w:val="auto"/>
          <w:spacing w:val="0"/>
          <w:kern w:val="0"/>
          <w:szCs w:val="24"/>
        </w:rPr>
        <w:t>）交易双方处于利己动机进行交易；</w:t>
      </w:r>
    </w:p>
    <w:p>
      <w:pPr>
        <w:shd w:val="clear"/>
        <w:spacing w:line="520" w:lineRule="exact"/>
        <w:ind w:firstLine="480" w:firstLineChars="200"/>
        <w:rPr>
          <w:rFonts w:ascii="宋体" w:hAnsi="宋体" w:cs="宋体"/>
          <w:color w:val="auto"/>
          <w:spacing w:val="0"/>
          <w:kern w:val="0"/>
          <w:szCs w:val="24"/>
        </w:rPr>
      </w:pPr>
      <w:r>
        <w:rPr>
          <w:rFonts w:hint="eastAsia" w:ascii="宋体" w:hAnsi="宋体" w:cs="宋体"/>
          <w:color w:val="auto"/>
          <w:spacing w:val="0"/>
          <w:kern w:val="0"/>
          <w:szCs w:val="24"/>
        </w:rPr>
        <w:t>（</w:t>
      </w:r>
      <w:r>
        <w:rPr>
          <w:rFonts w:ascii="宋体" w:hAnsi="宋体" w:cs="宋体"/>
          <w:color w:val="auto"/>
          <w:spacing w:val="0"/>
          <w:kern w:val="0"/>
          <w:szCs w:val="24"/>
        </w:rPr>
        <w:t>3</w:t>
      </w:r>
      <w:r>
        <w:rPr>
          <w:rFonts w:hint="eastAsia" w:ascii="宋体" w:hAnsi="宋体" w:cs="宋体"/>
          <w:color w:val="auto"/>
          <w:spacing w:val="0"/>
          <w:kern w:val="0"/>
          <w:szCs w:val="24"/>
        </w:rPr>
        <w:t>）交易双方精明、谨慎行事，并了解交易对象、知晓市场行情；</w:t>
      </w:r>
    </w:p>
    <w:p>
      <w:pPr>
        <w:shd w:val="clear"/>
        <w:spacing w:line="520" w:lineRule="exact"/>
        <w:ind w:firstLine="480" w:firstLineChars="200"/>
        <w:rPr>
          <w:rFonts w:ascii="宋体" w:hAnsi="宋体" w:cs="宋体"/>
          <w:color w:val="auto"/>
          <w:spacing w:val="0"/>
          <w:kern w:val="0"/>
          <w:szCs w:val="24"/>
        </w:rPr>
      </w:pPr>
      <w:r>
        <w:rPr>
          <w:rFonts w:hint="eastAsia" w:ascii="宋体" w:hAnsi="宋体" w:cs="宋体"/>
          <w:color w:val="auto"/>
          <w:spacing w:val="0"/>
          <w:kern w:val="0"/>
          <w:szCs w:val="24"/>
        </w:rPr>
        <w:t>（</w:t>
      </w:r>
      <w:r>
        <w:rPr>
          <w:rFonts w:ascii="宋体" w:hAnsi="宋体" w:cs="宋体"/>
          <w:color w:val="auto"/>
          <w:spacing w:val="0"/>
          <w:kern w:val="0"/>
          <w:szCs w:val="24"/>
        </w:rPr>
        <w:t>4</w:t>
      </w:r>
      <w:r>
        <w:rPr>
          <w:rFonts w:hint="eastAsia" w:ascii="宋体" w:hAnsi="宋体" w:cs="宋体"/>
          <w:color w:val="auto"/>
          <w:spacing w:val="0"/>
          <w:kern w:val="0"/>
          <w:szCs w:val="24"/>
        </w:rPr>
        <w:t>）交易双方有较充裕的时间进行交易；</w:t>
      </w:r>
    </w:p>
    <w:p>
      <w:pPr>
        <w:shd w:val="clear"/>
        <w:spacing w:line="520" w:lineRule="exact"/>
        <w:ind w:firstLine="480" w:firstLineChars="200"/>
        <w:rPr>
          <w:rFonts w:ascii="宋体" w:hAnsi="宋体" w:cs="宋体"/>
          <w:color w:val="auto"/>
          <w:spacing w:val="0"/>
          <w:kern w:val="0"/>
          <w:szCs w:val="24"/>
        </w:rPr>
      </w:pPr>
      <w:r>
        <w:rPr>
          <w:rFonts w:hint="eastAsia" w:ascii="宋体" w:hAnsi="宋体" w:cs="宋体"/>
          <w:color w:val="auto"/>
          <w:spacing w:val="0"/>
          <w:kern w:val="0"/>
          <w:szCs w:val="24"/>
        </w:rPr>
        <w:t>（</w:t>
      </w:r>
      <w:r>
        <w:rPr>
          <w:rFonts w:ascii="宋体" w:hAnsi="宋体" w:cs="宋体"/>
          <w:color w:val="auto"/>
          <w:spacing w:val="0"/>
          <w:kern w:val="0"/>
          <w:szCs w:val="24"/>
        </w:rPr>
        <w:t>5</w:t>
      </w:r>
      <w:r>
        <w:rPr>
          <w:rFonts w:hint="eastAsia" w:ascii="宋体" w:hAnsi="宋体" w:cs="宋体"/>
          <w:color w:val="auto"/>
          <w:spacing w:val="0"/>
          <w:kern w:val="0"/>
          <w:szCs w:val="24"/>
        </w:rPr>
        <w:t>）不存在买者因特殊兴趣而给予附加出价。</w:t>
      </w:r>
    </w:p>
    <w:p>
      <w:pPr>
        <w:shd w:val="clear"/>
        <w:spacing w:line="520" w:lineRule="exact"/>
        <w:ind w:firstLine="480" w:firstLineChars="200"/>
        <w:rPr>
          <w:rFonts w:ascii="宋体" w:hAnsi="宋体" w:cs="宋体"/>
          <w:color w:val="auto"/>
          <w:spacing w:val="0"/>
          <w:kern w:val="0"/>
          <w:szCs w:val="24"/>
        </w:rPr>
      </w:pPr>
      <w:r>
        <w:rPr>
          <w:rFonts w:hint="eastAsia" w:ascii="宋体" w:hAnsi="宋体" w:cs="宋体"/>
          <w:color w:val="auto"/>
          <w:spacing w:val="0"/>
          <w:kern w:val="0"/>
          <w:szCs w:val="24"/>
        </w:rPr>
        <w:t>4、【估价对象是否存在欠缴税金及相关费用的假设】估价委托人未明确估价对象存在欠缴税金及相关费用，本次估价假设评估对象不存在欠缴税金及相关费用。</w:t>
      </w:r>
    </w:p>
    <w:p>
      <w:pPr>
        <w:shd w:val="clear"/>
        <w:spacing w:line="520" w:lineRule="exact"/>
        <w:ind w:firstLine="480" w:firstLineChars="200"/>
        <w:rPr>
          <w:rFonts w:ascii="宋体" w:hAnsi="宋体" w:cs="宋体"/>
          <w:color w:val="auto"/>
          <w:spacing w:val="0"/>
          <w:kern w:val="0"/>
          <w:szCs w:val="24"/>
        </w:rPr>
      </w:pPr>
      <w:r>
        <w:rPr>
          <w:rFonts w:hint="eastAsia" w:ascii="宋体" w:hAnsi="宋体" w:cs="宋体"/>
          <w:color w:val="auto"/>
          <w:spacing w:val="0"/>
          <w:kern w:val="0"/>
          <w:szCs w:val="24"/>
        </w:rPr>
        <w:t>5.【关于</w:t>
      </w:r>
      <w:r>
        <w:rPr>
          <w:rFonts w:ascii="宋体" w:hAnsi="宋体" w:cs="宋体"/>
          <w:color w:val="auto"/>
          <w:spacing w:val="0"/>
          <w:kern w:val="0"/>
          <w:szCs w:val="24"/>
        </w:rPr>
        <w:t>评估对象交易税费负担方式</w:t>
      </w:r>
      <w:r>
        <w:rPr>
          <w:rFonts w:hint="eastAsia" w:ascii="宋体" w:hAnsi="宋体" w:cs="宋体"/>
          <w:color w:val="auto"/>
          <w:spacing w:val="0"/>
          <w:kern w:val="0"/>
          <w:szCs w:val="24"/>
        </w:rPr>
        <w:t>的假设】估价委托人</w:t>
      </w:r>
      <w:r>
        <w:rPr>
          <w:rFonts w:ascii="宋体" w:hAnsi="宋体" w:cs="宋体"/>
          <w:color w:val="auto"/>
          <w:spacing w:val="0"/>
          <w:kern w:val="0"/>
          <w:szCs w:val="24"/>
        </w:rPr>
        <w:t>未书面明确评估对象交易税费负担方式的</w:t>
      </w:r>
      <w:r>
        <w:rPr>
          <w:rFonts w:hint="eastAsia" w:ascii="宋体" w:hAnsi="宋体" w:cs="宋体"/>
          <w:color w:val="auto"/>
          <w:spacing w:val="0"/>
          <w:kern w:val="0"/>
          <w:szCs w:val="24"/>
        </w:rPr>
        <w:t>，本次评估假设</w:t>
      </w:r>
      <w:r>
        <w:rPr>
          <w:rFonts w:ascii="宋体" w:hAnsi="宋体" w:cs="宋体"/>
          <w:color w:val="auto"/>
          <w:spacing w:val="0"/>
          <w:kern w:val="0"/>
          <w:szCs w:val="24"/>
        </w:rPr>
        <w:t>按照法律法规规定，转让人和买受人各自负担</w:t>
      </w:r>
      <w:r>
        <w:rPr>
          <w:rFonts w:hint="eastAsia" w:ascii="宋体" w:hAnsi="宋体" w:cs="宋体"/>
          <w:color w:val="auto"/>
          <w:spacing w:val="0"/>
          <w:kern w:val="0"/>
          <w:szCs w:val="24"/>
        </w:rPr>
        <w:t>。</w:t>
      </w:r>
    </w:p>
    <w:p>
      <w:pPr>
        <w:shd w:val="clear"/>
        <w:spacing w:line="520" w:lineRule="exact"/>
        <w:ind w:firstLine="482" w:firstLineChars="200"/>
        <w:rPr>
          <w:rFonts w:ascii="宋体" w:hAnsi="宋体" w:cs="宋体"/>
          <w:color w:val="auto"/>
          <w:spacing w:val="0"/>
          <w:kern w:val="0"/>
          <w:szCs w:val="24"/>
        </w:rPr>
      </w:pPr>
      <w:r>
        <w:rPr>
          <w:rFonts w:hint="eastAsia" w:ascii="宋体" w:hAnsi="宋体" w:cs="宋体"/>
          <w:b/>
          <w:color w:val="auto"/>
          <w:spacing w:val="0"/>
          <w:kern w:val="0"/>
          <w:szCs w:val="24"/>
        </w:rPr>
        <w:t>特殊类假设：</w:t>
      </w:r>
      <w:r>
        <w:rPr>
          <w:rFonts w:hint="eastAsia" w:ascii="宋体" w:hAnsi="宋体" w:cs="宋体"/>
          <w:color w:val="auto"/>
          <w:spacing w:val="0"/>
          <w:kern w:val="0"/>
          <w:szCs w:val="24"/>
        </w:rPr>
        <w:t>主要包括未定事项假设、背离事实假设、不相一致假设、依据不足假设等。</w:t>
      </w:r>
    </w:p>
    <w:p>
      <w:pPr>
        <w:shd w:val="clear"/>
        <w:spacing w:line="520" w:lineRule="exact"/>
        <w:ind w:firstLine="480" w:firstLineChars="200"/>
        <w:rPr>
          <w:rFonts w:ascii="宋体" w:hAnsi="宋体" w:cs="宋体"/>
          <w:color w:val="auto"/>
          <w:spacing w:val="0"/>
          <w:kern w:val="0"/>
          <w:szCs w:val="24"/>
        </w:rPr>
      </w:pPr>
      <w:r>
        <w:rPr>
          <w:rFonts w:hint="eastAsia" w:ascii="宋体" w:hAnsi="宋体" w:cs="宋体"/>
          <w:color w:val="auto"/>
          <w:spacing w:val="0"/>
          <w:kern w:val="0"/>
          <w:szCs w:val="24"/>
        </w:rPr>
        <w:t>6、【未定事项假设】未定事项假设是指估价所必需的尚未明确或不够明确的土地用途、容积率等事项所做的合理的、最可能的假设。</w:t>
      </w:r>
    </w:p>
    <w:p>
      <w:pPr>
        <w:shd w:val="clear"/>
        <w:spacing w:line="520" w:lineRule="exact"/>
        <w:ind w:firstLine="480" w:firstLineChars="200"/>
        <w:rPr>
          <w:rFonts w:ascii="宋体" w:hAnsi="宋体" w:cs="宋体"/>
          <w:color w:val="auto"/>
          <w:spacing w:val="0"/>
          <w:kern w:val="0"/>
          <w:szCs w:val="24"/>
        </w:rPr>
      </w:pPr>
      <w:r>
        <w:rPr>
          <w:rFonts w:hint="eastAsia" w:ascii="宋体" w:hAnsi="宋体" w:cs="宋体"/>
          <w:color w:val="auto"/>
          <w:spacing w:val="0"/>
          <w:kern w:val="0"/>
          <w:szCs w:val="24"/>
        </w:rPr>
        <w:t>本次评估无未定事项假设。</w:t>
      </w:r>
    </w:p>
    <w:p>
      <w:pPr>
        <w:numPr>
          <w:ilvl w:val="0"/>
          <w:numId w:val="1"/>
        </w:numPr>
        <w:shd w:val="clear"/>
        <w:spacing w:line="520" w:lineRule="exact"/>
        <w:ind w:firstLine="480" w:firstLineChars="200"/>
        <w:rPr>
          <w:rFonts w:asciiTheme="minorEastAsia" w:hAnsiTheme="minorEastAsia" w:eastAsiaTheme="minorEastAsia" w:cstheme="minorEastAsia"/>
          <w:color w:val="auto"/>
          <w:szCs w:val="24"/>
        </w:rPr>
      </w:pPr>
      <w:r>
        <w:rPr>
          <w:rFonts w:hint="eastAsia" w:ascii="宋体" w:hAnsi="宋体" w:cs="宋体"/>
          <w:color w:val="auto"/>
          <w:spacing w:val="0"/>
          <w:kern w:val="0"/>
          <w:szCs w:val="24"/>
        </w:rPr>
        <w:t>【背离事实假设】</w:t>
      </w:r>
      <w:r>
        <w:rPr>
          <w:rFonts w:hint="eastAsia" w:asciiTheme="minorEastAsia" w:hAnsiTheme="minorEastAsia" w:eastAsiaTheme="minorEastAsia" w:cstheme="minorEastAsia"/>
          <w:color w:val="auto"/>
          <w:szCs w:val="24"/>
        </w:rPr>
        <w:t>因估价目的的特殊需要、交易条件设定或约定，</w:t>
      </w:r>
      <w:r>
        <w:rPr>
          <w:rFonts w:hint="eastAsia" w:ascii="宋体" w:hAnsi="宋体" w:cs="宋体"/>
          <w:color w:val="auto"/>
          <w:spacing w:val="0"/>
          <w:kern w:val="0"/>
          <w:szCs w:val="24"/>
        </w:rPr>
        <w:t>对估价对象状况所做的与估价对象的实际状况不一致的合理假定</w:t>
      </w:r>
      <w:r>
        <w:rPr>
          <w:rFonts w:hint="eastAsia" w:asciiTheme="minorEastAsia" w:hAnsiTheme="minorEastAsia" w:eastAsiaTheme="minorEastAsia" w:cstheme="minorEastAsia"/>
          <w:color w:val="auto"/>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auto"/>
          <w:spacing w:val="0"/>
          <w:kern w:val="0"/>
          <w:szCs w:val="24"/>
          <w:lang w:eastAsia="zh-CN"/>
        </w:rPr>
      </w:pPr>
      <w:r>
        <w:rPr>
          <w:rFonts w:hint="eastAsia" w:ascii="宋体" w:hAnsi="宋体" w:cs="宋体"/>
          <w:color w:val="auto"/>
          <w:spacing w:val="0"/>
          <w:kern w:val="0"/>
          <w:szCs w:val="24"/>
          <w:lang w:eastAsia="zh-CN"/>
        </w:rPr>
        <w:t>在注册房地产估价师现场勘查时，估价对象被第三方使用，委托人未提供租赁合同，</w:t>
      </w:r>
      <w:r>
        <w:rPr>
          <w:rFonts w:hint="eastAsia" w:ascii="宋体" w:hAnsi="宋体" w:cs="宋体"/>
          <w:color w:val="auto"/>
          <w:spacing w:val="0"/>
          <w:kern w:val="0"/>
          <w:szCs w:val="24"/>
          <w:lang w:val="en-US" w:eastAsia="zh-CN"/>
        </w:rPr>
        <w:t>结合本次评估目的是为人民法院确定财产处置参考价提供参考依据，本次估价不考虑第三方使用对房地产价值的影响</w:t>
      </w:r>
      <w:r>
        <w:rPr>
          <w:rFonts w:hint="eastAsia" w:ascii="宋体" w:hAnsi="宋体" w:cs="宋体"/>
          <w:color w:val="auto"/>
          <w:spacing w:val="0"/>
          <w:kern w:val="0"/>
          <w:szCs w:val="24"/>
          <w:lang w:eastAsia="zh-CN"/>
        </w:rPr>
        <w:t>。</w:t>
      </w:r>
    </w:p>
    <w:p>
      <w:pPr>
        <w:spacing w:line="520" w:lineRule="exact"/>
        <w:ind w:firstLine="480" w:firstLineChars="200"/>
        <w:rPr>
          <w:rFonts w:hint="eastAsia" w:ascii="宋体" w:hAnsi="宋体" w:cs="宋体"/>
          <w:color w:val="auto"/>
          <w:spacing w:val="0"/>
          <w:kern w:val="0"/>
          <w:szCs w:val="24"/>
          <w:lang w:eastAsia="zh-CN"/>
        </w:rPr>
      </w:pPr>
      <w:r>
        <w:rPr>
          <w:rFonts w:hint="eastAsia" w:ascii="宋体" w:hAnsi="宋体" w:cs="宋体"/>
          <w:color w:val="auto"/>
          <w:spacing w:val="0"/>
          <w:kern w:val="0"/>
          <w:szCs w:val="24"/>
          <w:lang w:val="en-US" w:eastAsia="zh-CN"/>
        </w:rPr>
        <w:t>根据委托人提供的</w:t>
      </w:r>
      <w:r>
        <w:rPr>
          <w:rFonts w:hint="eastAsia" w:ascii="宋体" w:hAnsi="宋体" w:cs="宋体"/>
          <w:color w:val="auto"/>
          <w:spacing w:val="0"/>
          <w:kern w:val="0"/>
          <w:szCs w:val="24"/>
          <w:lang w:eastAsia="zh-CN"/>
        </w:rPr>
        <w:t>《他项权证》、《六安市不动产权登记一体化平台业务查询》</w:t>
      </w:r>
      <w:r>
        <w:rPr>
          <w:rFonts w:hint="eastAsia" w:ascii="宋体" w:hAnsi="宋体" w:cs="宋体"/>
          <w:color w:val="auto"/>
          <w:spacing w:val="0"/>
          <w:kern w:val="0"/>
          <w:szCs w:val="24"/>
          <w:lang w:val="en-US" w:eastAsia="zh-CN"/>
        </w:rPr>
        <w:t>显示，估价对象存在抵押、查封，根据估价目的，本次为人民法院确定财产处置参考价提供参考依据，是在公开市场前提下求取的房地产市场价值，本次估价不考虑估价对象存在抵押、查封对房地产价值的影响。</w:t>
      </w:r>
    </w:p>
    <w:p>
      <w:pPr>
        <w:numPr>
          <w:ilvl w:val="0"/>
          <w:numId w:val="2"/>
        </w:numPr>
        <w:shd w:val="clear"/>
        <w:spacing w:line="520" w:lineRule="exact"/>
        <w:ind w:firstLine="480" w:firstLineChars="200"/>
        <w:rPr>
          <w:rFonts w:ascii="宋体" w:hAnsi="宋体" w:cs="宋体"/>
          <w:color w:val="auto"/>
          <w:spacing w:val="0"/>
          <w:kern w:val="0"/>
          <w:szCs w:val="24"/>
        </w:rPr>
      </w:pPr>
      <w:r>
        <w:rPr>
          <w:rFonts w:hint="eastAsia" w:ascii="宋体" w:hAnsi="宋体" w:cs="宋体"/>
          <w:color w:val="auto"/>
          <w:spacing w:val="0"/>
          <w:kern w:val="0"/>
          <w:szCs w:val="24"/>
        </w:rPr>
        <w:t>【不相一致假设】不相一致假设是指在估价对象的实际用途、房屋登记用途、土地登记用途、设计用途等用途之间不一致，或房屋权属证明、土地权属证明等权属证明上的权利人之间不一致，估价对象的名称不一致等情况，对估价所依据的用途或权利人、名称等的合理假定。</w:t>
      </w:r>
    </w:p>
    <w:p>
      <w:pPr>
        <w:shd w:val="clear"/>
        <w:spacing w:line="520" w:lineRule="exact"/>
        <w:ind w:firstLine="480" w:firstLineChars="200"/>
        <w:rPr>
          <w:rFonts w:ascii="宋体" w:hAnsi="宋体" w:cs="宋体"/>
          <w:color w:val="auto"/>
          <w:spacing w:val="0"/>
          <w:kern w:val="0"/>
          <w:szCs w:val="24"/>
        </w:rPr>
      </w:pPr>
      <w:r>
        <w:rPr>
          <w:rFonts w:hint="eastAsia" w:ascii="宋体" w:hAnsi="宋体" w:cs="宋体"/>
          <w:color w:val="auto"/>
          <w:spacing w:val="0"/>
          <w:kern w:val="0"/>
          <w:szCs w:val="24"/>
        </w:rPr>
        <w:t>本次评估无不相一致假设。</w:t>
      </w:r>
    </w:p>
    <w:p>
      <w:pPr>
        <w:numPr>
          <w:ilvl w:val="0"/>
          <w:numId w:val="2"/>
        </w:numPr>
        <w:shd w:val="clear"/>
        <w:tabs>
          <w:tab w:val="left" w:pos="1400"/>
        </w:tabs>
        <w:overflowPunct w:val="0"/>
        <w:topLinePunct/>
        <w:autoSpaceDE w:val="0"/>
        <w:spacing w:line="520" w:lineRule="exact"/>
        <w:ind w:left="0" w:leftChars="0" w:firstLine="480" w:firstLineChars="200"/>
        <w:rPr>
          <w:rFonts w:hint="eastAsia" w:cs="宋体" w:asciiTheme="minorEastAsia" w:hAnsiTheme="minorEastAsia" w:eastAsiaTheme="minorEastAsia"/>
          <w:color w:val="auto"/>
          <w:spacing w:val="0"/>
          <w:kern w:val="0"/>
          <w:szCs w:val="24"/>
        </w:rPr>
      </w:pPr>
      <w:r>
        <w:rPr>
          <w:rFonts w:hint="eastAsia" w:cs="宋体" w:asciiTheme="minorEastAsia" w:hAnsiTheme="minorEastAsia" w:eastAsiaTheme="minorEastAsia"/>
          <w:color w:val="auto"/>
          <w:spacing w:val="0"/>
          <w:kern w:val="0"/>
          <w:szCs w:val="24"/>
        </w:rPr>
        <w:t>【依据不足假设】依据不足假设是指估价委托人无法提供估价所必需的反映估价对象状况的资料及注册房地产估价师进行了尽职调查仍然难以取得该资料的情况下，缺少该资料及对相应的估价对象状况的合理假设。</w:t>
      </w:r>
    </w:p>
    <w:p>
      <w:pPr>
        <w:shd w:val="clear"/>
        <w:tabs>
          <w:tab w:val="left" w:pos="1400"/>
        </w:tabs>
        <w:overflowPunct w:val="0"/>
        <w:topLinePunct/>
        <w:autoSpaceDE w:val="0"/>
        <w:spacing w:line="520" w:lineRule="exact"/>
        <w:ind w:firstLine="480" w:firstLineChars="200"/>
        <w:rPr>
          <w:rFonts w:hint="eastAsia" w:cs="宋体" w:asciiTheme="minorEastAsia" w:hAnsiTheme="minorEastAsia" w:eastAsiaTheme="minorEastAsia"/>
          <w:color w:val="auto"/>
          <w:spacing w:val="0"/>
          <w:kern w:val="0"/>
          <w:szCs w:val="24"/>
          <w:lang w:val="en-US" w:eastAsia="zh-CN"/>
        </w:rPr>
      </w:pPr>
      <w:r>
        <w:rPr>
          <w:rFonts w:hint="eastAsia" w:cs="宋体" w:asciiTheme="minorEastAsia" w:hAnsiTheme="minorEastAsia" w:eastAsiaTheme="minorEastAsia"/>
          <w:color w:val="auto"/>
          <w:spacing w:val="0"/>
          <w:kern w:val="0"/>
          <w:szCs w:val="24"/>
        </w:rPr>
        <w:t>本次</w:t>
      </w:r>
      <w:r>
        <w:rPr>
          <w:rFonts w:hint="eastAsia" w:cs="宋体" w:asciiTheme="minorEastAsia" w:hAnsiTheme="minorEastAsia" w:eastAsiaTheme="minorEastAsia"/>
          <w:color w:val="auto"/>
          <w:spacing w:val="0"/>
          <w:kern w:val="0"/>
          <w:szCs w:val="24"/>
          <w:lang w:eastAsia="zh-CN"/>
        </w:rPr>
        <w:t>评估</w:t>
      </w:r>
      <w:r>
        <w:rPr>
          <w:rFonts w:hint="eastAsia" w:cs="宋体" w:asciiTheme="minorEastAsia" w:hAnsiTheme="minorEastAsia" w:eastAsiaTheme="minorEastAsia"/>
          <w:color w:val="auto"/>
          <w:spacing w:val="0"/>
          <w:kern w:val="0"/>
          <w:szCs w:val="24"/>
        </w:rPr>
        <w:t>估价对象无证建筑物、附属</w:t>
      </w:r>
      <w:r>
        <w:rPr>
          <w:rFonts w:hint="eastAsia" w:cs="宋体" w:asciiTheme="minorEastAsia" w:hAnsiTheme="minorEastAsia" w:eastAsiaTheme="minorEastAsia"/>
          <w:color w:val="auto"/>
          <w:spacing w:val="0"/>
          <w:kern w:val="0"/>
          <w:szCs w:val="24"/>
          <w:lang w:eastAsia="zh-CN"/>
        </w:rPr>
        <w:t>物、绿化苗木的</w:t>
      </w:r>
      <w:r>
        <w:rPr>
          <w:rFonts w:hint="eastAsia" w:cs="宋体" w:asciiTheme="minorEastAsia" w:hAnsiTheme="minorEastAsia" w:eastAsiaTheme="minorEastAsia"/>
          <w:color w:val="auto"/>
          <w:spacing w:val="0"/>
          <w:kern w:val="0"/>
          <w:szCs w:val="24"/>
        </w:rPr>
        <w:t>数量</w:t>
      </w:r>
      <w:r>
        <w:rPr>
          <w:rFonts w:hint="eastAsia" w:cs="宋体" w:asciiTheme="minorEastAsia" w:hAnsiTheme="minorEastAsia" w:eastAsiaTheme="minorEastAsia"/>
          <w:color w:val="auto"/>
          <w:spacing w:val="0"/>
          <w:kern w:val="0"/>
          <w:szCs w:val="24"/>
          <w:lang w:eastAsia="zh-CN"/>
        </w:rPr>
        <w:t>等由估价人员现场勘查统计</w:t>
      </w:r>
      <w:r>
        <w:rPr>
          <w:rFonts w:hint="eastAsia" w:cs="宋体" w:asciiTheme="minorEastAsia" w:hAnsiTheme="minorEastAsia" w:eastAsiaTheme="minorEastAsia"/>
          <w:color w:val="auto"/>
          <w:spacing w:val="0"/>
          <w:kern w:val="0"/>
          <w:szCs w:val="24"/>
        </w:rPr>
        <w:t>，并经</w:t>
      </w:r>
      <w:r>
        <w:rPr>
          <w:rFonts w:hint="eastAsia" w:cs="宋体" w:asciiTheme="minorEastAsia" w:hAnsiTheme="minorEastAsia" w:eastAsiaTheme="minorEastAsia"/>
          <w:color w:val="auto"/>
          <w:spacing w:val="0"/>
          <w:kern w:val="0"/>
          <w:szCs w:val="24"/>
          <w:lang w:eastAsia="zh-CN"/>
        </w:rPr>
        <w:t>估价</w:t>
      </w:r>
      <w:r>
        <w:rPr>
          <w:rFonts w:hint="eastAsia" w:cs="宋体" w:asciiTheme="minorEastAsia" w:hAnsiTheme="minorEastAsia" w:eastAsiaTheme="minorEastAsia"/>
          <w:color w:val="auto"/>
          <w:spacing w:val="0"/>
          <w:kern w:val="0"/>
          <w:szCs w:val="24"/>
        </w:rPr>
        <w:t>委托人</w:t>
      </w:r>
      <w:r>
        <w:rPr>
          <w:rFonts w:hint="eastAsia" w:cs="宋体" w:asciiTheme="minorEastAsia" w:hAnsiTheme="minorEastAsia" w:eastAsiaTheme="minorEastAsia"/>
          <w:color w:val="auto"/>
          <w:spacing w:val="0"/>
          <w:kern w:val="0"/>
          <w:szCs w:val="24"/>
          <w:lang w:eastAsia="zh-CN"/>
        </w:rPr>
        <w:t>与申请人</w:t>
      </w:r>
      <w:r>
        <w:rPr>
          <w:rFonts w:hint="eastAsia" w:cs="宋体" w:asciiTheme="minorEastAsia" w:hAnsiTheme="minorEastAsia" w:eastAsiaTheme="minorEastAsia"/>
          <w:color w:val="auto"/>
          <w:spacing w:val="0"/>
          <w:kern w:val="0"/>
          <w:szCs w:val="24"/>
        </w:rPr>
        <w:t>确认，本次评估依据该</w:t>
      </w:r>
      <w:r>
        <w:rPr>
          <w:rFonts w:hint="eastAsia" w:cs="宋体" w:asciiTheme="minorEastAsia" w:hAnsiTheme="minorEastAsia" w:eastAsiaTheme="minorEastAsia"/>
          <w:color w:val="auto"/>
          <w:spacing w:val="0"/>
          <w:kern w:val="0"/>
          <w:szCs w:val="24"/>
          <w:lang w:eastAsia="zh-CN"/>
        </w:rPr>
        <w:t>数据</w:t>
      </w:r>
      <w:r>
        <w:rPr>
          <w:rFonts w:hint="eastAsia" w:cs="宋体" w:asciiTheme="minorEastAsia" w:hAnsiTheme="minorEastAsia" w:eastAsiaTheme="minorEastAsia"/>
          <w:color w:val="auto"/>
          <w:spacing w:val="0"/>
          <w:kern w:val="0"/>
          <w:szCs w:val="24"/>
        </w:rPr>
        <w:t>进行评估</w:t>
      </w:r>
      <w:r>
        <w:rPr>
          <w:rFonts w:hint="eastAsia" w:cs="宋体" w:asciiTheme="minorEastAsia" w:hAnsiTheme="minorEastAsia" w:eastAsiaTheme="minorEastAsia"/>
          <w:color w:val="auto"/>
          <w:spacing w:val="0"/>
          <w:kern w:val="0"/>
          <w:szCs w:val="24"/>
          <w:lang w:eastAsia="zh-CN"/>
        </w:rPr>
        <w:t>。</w:t>
      </w:r>
      <w:r>
        <w:rPr>
          <w:rFonts w:hint="eastAsia" w:cs="宋体" w:asciiTheme="minorEastAsia" w:hAnsiTheme="minorEastAsia" w:eastAsiaTheme="minorEastAsia"/>
          <w:color w:val="auto"/>
          <w:spacing w:val="0"/>
          <w:kern w:val="0"/>
          <w:szCs w:val="24"/>
          <w:lang w:val="en-US" w:eastAsia="zh-CN"/>
        </w:rPr>
        <w:t>若对估价对象</w:t>
      </w:r>
      <w:r>
        <w:rPr>
          <w:rFonts w:hint="eastAsia" w:cs="宋体" w:asciiTheme="minorEastAsia" w:hAnsiTheme="minorEastAsia" w:eastAsiaTheme="minorEastAsia"/>
          <w:color w:val="auto"/>
          <w:spacing w:val="0"/>
          <w:kern w:val="0"/>
          <w:szCs w:val="24"/>
        </w:rPr>
        <w:t>无证建筑物、附属</w:t>
      </w:r>
      <w:r>
        <w:rPr>
          <w:rFonts w:hint="eastAsia" w:cs="宋体" w:asciiTheme="minorEastAsia" w:hAnsiTheme="minorEastAsia" w:eastAsiaTheme="minorEastAsia"/>
          <w:color w:val="auto"/>
          <w:spacing w:val="0"/>
          <w:kern w:val="0"/>
          <w:szCs w:val="24"/>
          <w:lang w:eastAsia="zh-CN"/>
        </w:rPr>
        <w:t>物、绿化苗木的</w:t>
      </w:r>
      <w:r>
        <w:rPr>
          <w:rFonts w:hint="eastAsia" w:cs="宋体" w:asciiTheme="minorEastAsia" w:hAnsiTheme="minorEastAsia" w:eastAsiaTheme="minorEastAsia"/>
          <w:color w:val="auto"/>
          <w:spacing w:val="0"/>
          <w:kern w:val="0"/>
          <w:szCs w:val="24"/>
        </w:rPr>
        <w:t>数量</w:t>
      </w:r>
      <w:r>
        <w:rPr>
          <w:rFonts w:hint="eastAsia" w:cs="宋体" w:asciiTheme="minorEastAsia" w:hAnsiTheme="minorEastAsia" w:eastAsiaTheme="minorEastAsia"/>
          <w:color w:val="auto"/>
          <w:spacing w:val="0"/>
          <w:kern w:val="0"/>
          <w:szCs w:val="24"/>
          <w:lang w:eastAsia="zh-CN"/>
        </w:rPr>
        <w:t>等</w:t>
      </w:r>
      <w:r>
        <w:rPr>
          <w:rFonts w:hint="eastAsia" w:cs="宋体" w:asciiTheme="minorEastAsia" w:hAnsiTheme="minorEastAsia" w:eastAsiaTheme="minorEastAsia"/>
          <w:color w:val="auto"/>
          <w:spacing w:val="0"/>
          <w:kern w:val="0"/>
          <w:szCs w:val="24"/>
          <w:lang w:val="en-US" w:eastAsia="zh-CN"/>
        </w:rPr>
        <w:t xml:space="preserve">情况有异议，需提供相应资料，估价结果做相应调整甚至重新进行估价。 </w:t>
      </w:r>
    </w:p>
    <w:p>
      <w:pPr>
        <w:shd w:val="clear"/>
        <w:tabs>
          <w:tab w:val="left" w:pos="1400"/>
        </w:tabs>
        <w:overflowPunct w:val="0"/>
        <w:topLinePunct/>
        <w:autoSpaceDE w:val="0"/>
        <w:spacing w:line="520" w:lineRule="exact"/>
        <w:ind w:firstLine="480" w:firstLineChars="200"/>
        <w:rPr>
          <w:rFonts w:hint="default" w:cs="宋体" w:asciiTheme="minorEastAsia" w:hAnsiTheme="minorEastAsia" w:eastAsiaTheme="minorEastAsia"/>
          <w:color w:val="auto"/>
          <w:spacing w:val="0"/>
          <w:kern w:val="0"/>
          <w:szCs w:val="24"/>
          <w:lang w:val="en-US" w:eastAsia="zh-CN"/>
        </w:rPr>
      </w:pPr>
      <w:r>
        <w:rPr>
          <w:rFonts w:hint="eastAsia" w:ascii="宋体" w:hAnsi="宋体" w:cs="宋体"/>
          <w:color w:val="1E1C11" w:themeColor="background2" w:themeShade="1A"/>
          <w:spacing w:val="0"/>
          <w:kern w:val="0"/>
          <w:szCs w:val="24"/>
          <w:lang w:eastAsia="zh-CN"/>
        </w:rPr>
        <w:t>委托人提供的估价对象</w:t>
      </w:r>
      <w:r>
        <w:rPr>
          <w:rFonts w:hint="eastAsia" w:ascii="宋体" w:hAnsi="宋体" w:cs="宋体"/>
          <w:color w:val="1E1C11" w:themeColor="background2" w:themeShade="1A"/>
          <w:spacing w:val="0"/>
          <w:kern w:val="0"/>
          <w:szCs w:val="24"/>
        </w:rPr>
        <w:t>《国有土地使用证》、《房地产权证》</w:t>
      </w:r>
      <w:r>
        <w:rPr>
          <w:rFonts w:hint="eastAsia" w:ascii="宋体" w:hAnsi="宋体" w:cs="宋体"/>
          <w:color w:val="1E1C11" w:themeColor="background2" w:themeShade="1A"/>
          <w:spacing w:val="0"/>
          <w:kern w:val="0"/>
          <w:szCs w:val="24"/>
          <w:lang w:eastAsia="zh-CN"/>
        </w:rPr>
        <w:t>等资料未记载估价对象的建成年代，依据估价人员现场调查，估价对象建成于</w:t>
      </w:r>
      <w:r>
        <w:rPr>
          <w:rFonts w:hint="eastAsia" w:ascii="宋体" w:hAnsi="宋体" w:cs="宋体"/>
          <w:color w:val="1E1C11" w:themeColor="background2" w:themeShade="1A"/>
          <w:spacing w:val="0"/>
          <w:kern w:val="0"/>
          <w:szCs w:val="24"/>
          <w:lang w:val="en-US" w:eastAsia="zh-CN"/>
        </w:rPr>
        <w:t>2008年，本次评估假设</w:t>
      </w:r>
      <w:r>
        <w:rPr>
          <w:rFonts w:hint="eastAsia" w:ascii="宋体" w:hAnsi="宋体" w:cs="宋体"/>
          <w:color w:val="1E1C11" w:themeColor="background2" w:themeShade="1A"/>
          <w:spacing w:val="0"/>
          <w:kern w:val="0"/>
          <w:szCs w:val="24"/>
          <w:lang w:eastAsia="zh-CN"/>
        </w:rPr>
        <w:t>估价对象的建成年代为</w:t>
      </w:r>
      <w:r>
        <w:rPr>
          <w:rFonts w:hint="eastAsia" w:ascii="宋体" w:hAnsi="宋体" w:cs="宋体"/>
          <w:color w:val="1E1C11" w:themeColor="background2" w:themeShade="1A"/>
          <w:spacing w:val="0"/>
          <w:kern w:val="0"/>
          <w:szCs w:val="24"/>
          <w:lang w:val="en-US" w:eastAsia="zh-CN"/>
        </w:rPr>
        <w:t>2008年。若对估价对象建成年代有异议，需具有相应资质的单位或相关职能部门进行鉴定，估价结果作必要调整甚至重新估价。</w:t>
      </w:r>
    </w:p>
    <w:p>
      <w:pPr>
        <w:shd w:val="clear"/>
        <w:tabs>
          <w:tab w:val="left" w:pos="1400"/>
        </w:tabs>
        <w:overflowPunct w:val="0"/>
        <w:topLinePunct/>
        <w:autoSpaceDE w:val="0"/>
        <w:spacing w:line="520" w:lineRule="exact"/>
        <w:ind w:firstLine="480" w:firstLineChars="200"/>
        <w:rPr>
          <w:rFonts w:asciiTheme="minorEastAsia" w:hAnsiTheme="minorEastAsia" w:eastAsiaTheme="minorEastAsia"/>
          <w:color w:val="auto"/>
          <w:spacing w:val="0"/>
          <w:szCs w:val="22"/>
        </w:rPr>
      </w:pPr>
      <w:r>
        <w:rPr>
          <w:rFonts w:hint="eastAsia" w:cs="宋体" w:asciiTheme="minorEastAsia" w:hAnsiTheme="minorEastAsia" w:eastAsiaTheme="minorEastAsia"/>
          <w:color w:val="auto"/>
          <w:spacing w:val="0"/>
          <w:kern w:val="0"/>
          <w:szCs w:val="24"/>
        </w:rPr>
        <w:t>依据</w:t>
      </w:r>
      <w:r>
        <w:rPr>
          <w:rFonts w:hint="eastAsia" w:cs="宋体" w:asciiTheme="minorEastAsia" w:hAnsiTheme="minorEastAsia" w:eastAsiaTheme="minorEastAsia"/>
          <w:color w:val="auto"/>
          <w:spacing w:val="0"/>
          <w:kern w:val="0"/>
          <w:szCs w:val="24"/>
          <w:lang w:eastAsia="zh-CN"/>
        </w:rPr>
        <w:t>估价人员的现场调查并结合申请人介绍</w:t>
      </w:r>
      <w:r>
        <w:rPr>
          <w:rFonts w:hint="eastAsia" w:cs="宋体" w:asciiTheme="minorEastAsia" w:hAnsiTheme="minorEastAsia" w:eastAsiaTheme="minorEastAsia"/>
          <w:color w:val="auto"/>
          <w:spacing w:val="0"/>
          <w:kern w:val="0"/>
          <w:szCs w:val="24"/>
          <w:lang w:val="en-US" w:eastAsia="zh-CN"/>
        </w:rPr>
        <w:t>，</w:t>
      </w:r>
      <w:r>
        <w:rPr>
          <w:rFonts w:hint="eastAsia" w:cs="宋体" w:asciiTheme="minorEastAsia" w:hAnsiTheme="minorEastAsia" w:eastAsiaTheme="minorEastAsia"/>
          <w:color w:val="auto"/>
          <w:spacing w:val="0"/>
          <w:kern w:val="0"/>
          <w:szCs w:val="24"/>
        </w:rPr>
        <w:t>本次评估假设</w:t>
      </w:r>
      <w:r>
        <w:rPr>
          <w:rFonts w:hint="eastAsia" w:cs="宋体" w:asciiTheme="minorEastAsia" w:hAnsiTheme="minorEastAsia" w:eastAsiaTheme="minorEastAsia"/>
          <w:color w:val="auto"/>
          <w:spacing w:val="0"/>
          <w:kern w:val="0"/>
          <w:szCs w:val="24"/>
          <w:lang w:eastAsia="zh-CN"/>
        </w:rPr>
        <w:t>估价对象无证建筑物</w:t>
      </w:r>
      <w:r>
        <w:rPr>
          <w:rFonts w:hint="eastAsia" w:cs="宋体" w:asciiTheme="minorEastAsia" w:hAnsiTheme="minorEastAsia" w:eastAsiaTheme="minorEastAsia"/>
          <w:color w:val="auto"/>
          <w:spacing w:val="0"/>
          <w:kern w:val="0"/>
          <w:szCs w:val="24"/>
        </w:rPr>
        <w:t>建筑物、附属物</w:t>
      </w:r>
      <w:r>
        <w:rPr>
          <w:rFonts w:hint="eastAsia" w:cs="宋体" w:asciiTheme="minorEastAsia" w:hAnsiTheme="minorEastAsia" w:eastAsiaTheme="minorEastAsia"/>
          <w:color w:val="auto"/>
          <w:spacing w:val="0"/>
          <w:kern w:val="0"/>
          <w:szCs w:val="24"/>
          <w:lang w:eastAsia="zh-CN"/>
        </w:rPr>
        <w:t>、绿化苗木等资产占有人</w:t>
      </w:r>
      <w:r>
        <w:rPr>
          <w:rFonts w:hint="eastAsia" w:cs="宋体" w:asciiTheme="minorEastAsia" w:hAnsiTheme="minorEastAsia" w:eastAsiaTheme="minorEastAsia"/>
          <w:color w:val="auto"/>
          <w:spacing w:val="0"/>
          <w:kern w:val="0"/>
          <w:szCs w:val="24"/>
        </w:rPr>
        <w:t>为</w:t>
      </w:r>
      <w:r>
        <w:rPr>
          <w:rFonts w:hint="eastAsia" w:cs="宋体" w:asciiTheme="minorEastAsia" w:hAnsiTheme="minorEastAsia" w:eastAsiaTheme="minorEastAsia"/>
          <w:color w:val="auto"/>
          <w:spacing w:val="0"/>
          <w:kern w:val="0"/>
          <w:szCs w:val="24"/>
          <w:lang w:eastAsia="zh-CN"/>
        </w:rPr>
        <w:t>六安颇美特建设机械有限公司</w:t>
      </w:r>
      <w:r>
        <w:rPr>
          <w:rFonts w:hint="eastAsia" w:cs="宋体" w:asciiTheme="minorEastAsia" w:hAnsiTheme="minorEastAsia" w:eastAsiaTheme="minorEastAsia"/>
          <w:color w:val="auto"/>
          <w:spacing w:val="0"/>
          <w:kern w:val="0"/>
          <w:szCs w:val="24"/>
        </w:rPr>
        <w:t>。</w:t>
      </w:r>
    </w:p>
    <w:p>
      <w:pPr>
        <w:shd w:val="clear"/>
        <w:tabs>
          <w:tab w:val="left" w:pos="1400"/>
        </w:tabs>
        <w:overflowPunct w:val="0"/>
        <w:topLinePunct/>
        <w:autoSpaceDE w:val="0"/>
        <w:spacing w:line="520" w:lineRule="exact"/>
        <w:rPr>
          <w:rFonts w:cs="宋体" w:asciiTheme="minorEastAsia" w:hAnsiTheme="minorEastAsia" w:eastAsiaTheme="minorEastAsia"/>
          <w:b/>
          <w:color w:val="auto"/>
          <w:spacing w:val="0"/>
          <w:kern w:val="0"/>
          <w:szCs w:val="24"/>
        </w:rPr>
      </w:pPr>
      <w:r>
        <w:rPr>
          <w:rFonts w:hint="eastAsia" w:cs="宋体" w:asciiTheme="minorEastAsia" w:hAnsiTheme="minorEastAsia" w:eastAsiaTheme="minorEastAsia"/>
          <w:b/>
          <w:color w:val="auto"/>
          <w:spacing w:val="0"/>
          <w:kern w:val="0"/>
          <w:szCs w:val="24"/>
        </w:rPr>
        <w:t>二、估价限制条件</w:t>
      </w:r>
      <w:bookmarkEnd w:id="1"/>
    </w:p>
    <w:p>
      <w:pPr>
        <w:shd w:val="clear"/>
        <w:tabs>
          <w:tab w:val="left" w:pos="1400"/>
        </w:tabs>
        <w:overflowPunct w:val="0"/>
        <w:topLinePunct/>
        <w:autoSpaceDE w:val="0"/>
        <w:spacing w:line="520" w:lineRule="exact"/>
        <w:ind w:firstLine="480" w:firstLineChars="200"/>
        <w:rPr>
          <w:rFonts w:cs="宋体" w:asciiTheme="minorEastAsia" w:hAnsiTheme="minorEastAsia" w:eastAsiaTheme="minorEastAsia"/>
          <w:color w:val="auto"/>
          <w:spacing w:val="0"/>
          <w:kern w:val="0"/>
          <w:szCs w:val="24"/>
        </w:rPr>
      </w:pPr>
      <w:r>
        <w:rPr>
          <w:rFonts w:hint="eastAsia" w:cs="宋体" w:asciiTheme="minorEastAsia" w:hAnsiTheme="minorEastAsia" w:eastAsiaTheme="minorEastAsia"/>
          <w:color w:val="auto"/>
          <w:spacing w:val="0"/>
          <w:kern w:val="0"/>
          <w:szCs w:val="24"/>
        </w:rPr>
        <w:t>估价报告使用限制，主要对估价报告的用途、使用者、使用期限、使用范围等的限定，以及说明使用报告时需注意的其他特殊事项。</w:t>
      </w:r>
    </w:p>
    <w:p>
      <w:pPr>
        <w:shd w:val="clear"/>
        <w:tabs>
          <w:tab w:val="left" w:pos="1400"/>
        </w:tabs>
        <w:overflowPunct w:val="0"/>
        <w:topLinePunct/>
        <w:autoSpaceDE w:val="0"/>
        <w:spacing w:line="520" w:lineRule="exact"/>
        <w:ind w:firstLine="480" w:firstLineChars="200"/>
        <w:rPr>
          <w:rFonts w:cs="宋体" w:asciiTheme="minorEastAsia" w:hAnsiTheme="minorEastAsia" w:eastAsiaTheme="minorEastAsia"/>
          <w:color w:val="auto"/>
          <w:spacing w:val="0"/>
          <w:kern w:val="0"/>
          <w:szCs w:val="24"/>
        </w:rPr>
      </w:pPr>
      <w:r>
        <w:rPr>
          <w:rFonts w:hint="eastAsia" w:cs="宋体" w:asciiTheme="minorEastAsia" w:hAnsiTheme="minorEastAsia" w:eastAsiaTheme="minorEastAsia"/>
          <w:color w:val="auto"/>
          <w:spacing w:val="0"/>
          <w:kern w:val="0"/>
          <w:szCs w:val="24"/>
        </w:rPr>
        <w:t>1.【估价报告使用期限】本估价报告使用期限自估价报告出具之日起计算，根据估价目的和预计估价对象的市场价格变化程度确定，不宜超过一年。若报告使用期限内，房地产市场或估价对象状况发生重大变化，估价结果需做相应调整或委托估价机构重新估价。</w:t>
      </w:r>
    </w:p>
    <w:p>
      <w:pPr>
        <w:shd w:val="clear"/>
        <w:tabs>
          <w:tab w:val="left" w:pos="1400"/>
        </w:tabs>
        <w:overflowPunct w:val="0"/>
        <w:topLinePunct/>
        <w:autoSpaceDE w:val="0"/>
        <w:spacing w:line="520" w:lineRule="exact"/>
        <w:ind w:firstLine="480" w:firstLineChars="200"/>
        <w:rPr>
          <w:rFonts w:cs="宋体" w:asciiTheme="minorEastAsia" w:hAnsiTheme="minorEastAsia" w:eastAsiaTheme="minorEastAsia"/>
          <w:color w:val="auto"/>
          <w:spacing w:val="0"/>
          <w:kern w:val="0"/>
          <w:szCs w:val="24"/>
        </w:rPr>
      </w:pPr>
      <w:r>
        <w:rPr>
          <w:rFonts w:hint="eastAsia" w:cs="宋体" w:asciiTheme="minorEastAsia" w:hAnsiTheme="minorEastAsia" w:eastAsiaTheme="minorEastAsia"/>
          <w:color w:val="auto"/>
          <w:spacing w:val="0"/>
          <w:kern w:val="0"/>
          <w:szCs w:val="24"/>
        </w:rPr>
        <w:t>2.【价值类型限制】估价结果为房地产市场价值，未考虑快速变现等处置方式带来的影响。未考虑评估费、拍卖费、诉讼费、律师费等财产处置费用及其对评估结果的影响。本估价报告所述市场价值为估价对象按合法用途使用情况下的房地产市场价值。</w:t>
      </w:r>
    </w:p>
    <w:p>
      <w:pPr>
        <w:shd w:val="clear"/>
        <w:tabs>
          <w:tab w:val="left" w:pos="1400"/>
        </w:tabs>
        <w:overflowPunct w:val="0"/>
        <w:topLinePunct/>
        <w:autoSpaceDE w:val="0"/>
        <w:spacing w:line="520" w:lineRule="exact"/>
        <w:ind w:firstLine="480" w:firstLineChars="200"/>
        <w:rPr>
          <w:rFonts w:cs="宋体" w:asciiTheme="minorEastAsia" w:hAnsiTheme="minorEastAsia" w:eastAsiaTheme="minorEastAsia"/>
          <w:color w:val="auto"/>
          <w:spacing w:val="0"/>
          <w:kern w:val="0"/>
          <w:szCs w:val="24"/>
        </w:rPr>
      </w:pPr>
      <w:r>
        <w:rPr>
          <w:rFonts w:hint="eastAsia" w:cs="宋体" w:asciiTheme="minorEastAsia" w:hAnsiTheme="minorEastAsia" w:eastAsiaTheme="minorEastAsia"/>
          <w:color w:val="auto"/>
          <w:spacing w:val="0"/>
          <w:kern w:val="0"/>
          <w:szCs w:val="24"/>
        </w:rPr>
        <w:t>3.【估价报告用途限制】本估价报告估价结果为</w:t>
      </w:r>
      <w:r>
        <w:rPr>
          <w:rFonts w:hint="eastAsia" w:asciiTheme="minorEastAsia" w:hAnsiTheme="minorEastAsia" w:eastAsiaTheme="minorEastAsia"/>
          <w:bCs/>
          <w:color w:val="auto"/>
          <w:spacing w:val="0"/>
          <w:szCs w:val="24"/>
          <w:lang w:eastAsia="zh-CN"/>
        </w:rPr>
        <w:t>六安市金安区人民法院</w:t>
      </w:r>
      <w:r>
        <w:rPr>
          <w:rFonts w:hint="eastAsia" w:ascii="宋体" w:hAnsi="宋体"/>
          <w:color w:val="auto"/>
          <w:spacing w:val="0"/>
        </w:rPr>
        <w:t>确定财产处置参考价提供参考依据</w:t>
      </w:r>
      <w:r>
        <w:rPr>
          <w:rFonts w:hint="eastAsia" w:cs="宋体" w:asciiTheme="minorEastAsia" w:hAnsiTheme="minorEastAsia" w:eastAsiaTheme="minorEastAsia"/>
          <w:color w:val="auto"/>
          <w:spacing w:val="0"/>
          <w:kern w:val="0"/>
          <w:szCs w:val="24"/>
        </w:rPr>
        <w:t>，按照既定目的提供给估价委托人使用，若改变估价目的及使用条件，需向本公司咨询后作必要调整甚至重新估价。</w:t>
      </w:r>
    </w:p>
    <w:p>
      <w:pPr>
        <w:shd w:val="clear"/>
        <w:tabs>
          <w:tab w:val="left" w:pos="1400"/>
        </w:tabs>
        <w:overflowPunct w:val="0"/>
        <w:topLinePunct/>
        <w:autoSpaceDE w:val="0"/>
        <w:spacing w:line="520" w:lineRule="exact"/>
        <w:ind w:firstLine="480" w:firstLineChars="200"/>
        <w:rPr>
          <w:rFonts w:cs="宋体" w:asciiTheme="minorEastAsia" w:hAnsiTheme="minorEastAsia" w:eastAsiaTheme="minorEastAsia"/>
          <w:color w:val="auto"/>
          <w:spacing w:val="0"/>
          <w:kern w:val="0"/>
          <w:szCs w:val="24"/>
        </w:rPr>
      </w:pPr>
      <w:r>
        <w:rPr>
          <w:rFonts w:hint="eastAsia" w:cs="宋体" w:asciiTheme="minorEastAsia" w:hAnsiTheme="minorEastAsia" w:eastAsiaTheme="minorEastAsia"/>
          <w:color w:val="auto"/>
          <w:spacing w:val="0"/>
          <w:kern w:val="0"/>
          <w:szCs w:val="24"/>
        </w:rPr>
        <w:t>4.【报告分类使用限制】本估价报告分为</w:t>
      </w:r>
      <w:r>
        <w:rPr>
          <w:rFonts w:cs="宋体" w:asciiTheme="minorEastAsia" w:hAnsiTheme="minorEastAsia" w:eastAsiaTheme="minorEastAsia"/>
          <w:color w:val="auto"/>
          <w:spacing w:val="0"/>
          <w:kern w:val="0"/>
          <w:szCs w:val="24"/>
        </w:rPr>
        <w:t>“</w:t>
      </w:r>
      <w:r>
        <w:rPr>
          <w:rFonts w:hint="eastAsia" w:cs="宋体" w:asciiTheme="minorEastAsia" w:hAnsiTheme="minorEastAsia" w:eastAsiaTheme="minorEastAsia"/>
          <w:color w:val="auto"/>
          <w:spacing w:val="0"/>
          <w:kern w:val="0"/>
          <w:szCs w:val="24"/>
        </w:rPr>
        <w:t>估价结果报告</w:t>
      </w:r>
      <w:r>
        <w:rPr>
          <w:rFonts w:cs="宋体" w:asciiTheme="minorEastAsia" w:hAnsiTheme="minorEastAsia" w:eastAsiaTheme="minorEastAsia"/>
          <w:color w:val="auto"/>
          <w:spacing w:val="0"/>
          <w:kern w:val="0"/>
          <w:szCs w:val="24"/>
        </w:rPr>
        <w:t>”</w:t>
      </w:r>
      <w:r>
        <w:rPr>
          <w:rFonts w:hint="eastAsia" w:cs="宋体" w:asciiTheme="minorEastAsia" w:hAnsiTheme="minorEastAsia" w:eastAsiaTheme="minorEastAsia"/>
          <w:color w:val="auto"/>
          <w:spacing w:val="0"/>
          <w:kern w:val="0"/>
          <w:szCs w:val="24"/>
        </w:rPr>
        <w:t>和</w:t>
      </w:r>
      <w:r>
        <w:rPr>
          <w:rFonts w:cs="宋体" w:asciiTheme="minorEastAsia" w:hAnsiTheme="minorEastAsia" w:eastAsiaTheme="minorEastAsia"/>
          <w:color w:val="auto"/>
          <w:spacing w:val="0"/>
          <w:kern w:val="0"/>
          <w:szCs w:val="24"/>
        </w:rPr>
        <w:t>“</w:t>
      </w:r>
      <w:r>
        <w:rPr>
          <w:rFonts w:hint="eastAsia" w:cs="宋体" w:asciiTheme="minorEastAsia" w:hAnsiTheme="minorEastAsia" w:eastAsiaTheme="minorEastAsia"/>
          <w:color w:val="auto"/>
          <w:spacing w:val="0"/>
          <w:kern w:val="0"/>
          <w:szCs w:val="24"/>
        </w:rPr>
        <w:t>估价技术报告</w:t>
      </w:r>
      <w:r>
        <w:rPr>
          <w:rFonts w:cs="宋体" w:asciiTheme="minorEastAsia" w:hAnsiTheme="minorEastAsia" w:eastAsiaTheme="minorEastAsia"/>
          <w:color w:val="auto"/>
          <w:spacing w:val="0"/>
          <w:kern w:val="0"/>
          <w:szCs w:val="24"/>
        </w:rPr>
        <w:t>”</w:t>
      </w:r>
      <w:r>
        <w:rPr>
          <w:rFonts w:hint="eastAsia" w:cs="宋体" w:asciiTheme="minorEastAsia" w:hAnsiTheme="minorEastAsia" w:eastAsiaTheme="minorEastAsia"/>
          <w:color w:val="auto"/>
          <w:spacing w:val="0"/>
          <w:kern w:val="0"/>
          <w:szCs w:val="24"/>
        </w:rPr>
        <w:t>两部分。</w:t>
      </w:r>
      <w:r>
        <w:rPr>
          <w:rFonts w:cs="宋体" w:asciiTheme="minorEastAsia" w:hAnsiTheme="minorEastAsia" w:eastAsiaTheme="minorEastAsia"/>
          <w:color w:val="auto"/>
          <w:spacing w:val="0"/>
          <w:kern w:val="0"/>
          <w:szCs w:val="24"/>
        </w:rPr>
        <w:t>“</w:t>
      </w:r>
      <w:r>
        <w:rPr>
          <w:rFonts w:hint="eastAsia" w:cs="宋体" w:asciiTheme="minorEastAsia" w:hAnsiTheme="minorEastAsia" w:eastAsiaTheme="minorEastAsia"/>
          <w:color w:val="auto"/>
          <w:spacing w:val="0"/>
          <w:kern w:val="0"/>
          <w:szCs w:val="24"/>
        </w:rPr>
        <w:t>估价结果报告</w:t>
      </w:r>
      <w:r>
        <w:rPr>
          <w:rFonts w:cs="宋体" w:asciiTheme="minorEastAsia" w:hAnsiTheme="minorEastAsia" w:eastAsiaTheme="minorEastAsia"/>
          <w:color w:val="auto"/>
          <w:spacing w:val="0"/>
          <w:kern w:val="0"/>
          <w:szCs w:val="24"/>
        </w:rPr>
        <w:t>”</w:t>
      </w:r>
      <w:r>
        <w:rPr>
          <w:rFonts w:hint="eastAsia" w:cs="宋体" w:asciiTheme="minorEastAsia" w:hAnsiTheme="minorEastAsia" w:eastAsiaTheme="minorEastAsia"/>
          <w:color w:val="auto"/>
          <w:spacing w:val="0"/>
          <w:kern w:val="0"/>
          <w:szCs w:val="24"/>
        </w:rPr>
        <w:t>提供给估价委托人，</w:t>
      </w:r>
      <w:r>
        <w:rPr>
          <w:rFonts w:cs="宋体" w:asciiTheme="minorEastAsia" w:hAnsiTheme="minorEastAsia" w:eastAsiaTheme="minorEastAsia"/>
          <w:color w:val="auto"/>
          <w:spacing w:val="0"/>
          <w:kern w:val="0"/>
          <w:szCs w:val="24"/>
        </w:rPr>
        <w:t>“</w:t>
      </w:r>
      <w:r>
        <w:rPr>
          <w:rFonts w:hint="eastAsia" w:cs="宋体" w:asciiTheme="minorEastAsia" w:hAnsiTheme="minorEastAsia" w:eastAsiaTheme="minorEastAsia"/>
          <w:color w:val="auto"/>
          <w:spacing w:val="0"/>
          <w:kern w:val="0"/>
          <w:szCs w:val="24"/>
        </w:rPr>
        <w:t>估价技术报告</w:t>
      </w:r>
      <w:r>
        <w:rPr>
          <w:rFonts w:cs="宋体" w:asciiTheme="minorEastAsia" w:hAnsiTheme="minorEastAsia" w:eastAsiaTheme="minorEastAsia"/>
          <w:color w:val="auto"/>
          <w:spacing w:val="0"/>
          <w:kern w:val="0"/>
          <w:szCs w:val="24"/>
        </w:rPr>
        <w:t>”</w:t>
      </w:r>
      <w:r>
        <w:rPr>
          <w:rFonts w:hint="eastAsia" w:cs="宋体" w:asciiTheme="minorEastAsia" w:hAnsiTheme="minorEastAsia" w:eastAsiaTheme="minorEastAsia"/>
          <w:color w:val="auto"/>
          <w:spacing w:val="0"/>
          <w:kern w:val="0"/>
          <w:szCs w:val="24"/>
        </w:rPr>
        <w:t>根据有关规定由估价机构存档并在相关人需要时提供给相关人。</w:t>
      </w:r>
    </w:p>
    <w:p>
      <w:pPr>
        <w:shd w:val="clear"/>
        <w:tabs>
          <w:tab w:val="left" w:pos="1400"/>
        </w:tabs>
        <w:overflowPunct w:val="0"/>
        <w:topLinePunct/>
        <w:autoSpaceDE w:val="0"/>
        <w:spacing w:line="520" w:lineRule="exact"/>
        <w:ind w:firstLine="480" w:firstLineChars="200"/>
        <w:rPr>
          <w:rFonts w:hint="eastAsia" w:cs="宋体" w:asciiTheme="minorEastAsia" w:hAnsiTheme="minorEastAsia" w:eastAsiaTheme="minorEastAsia"/>
          <w:color w:val="auto"/>
          <w:spacing w:val="0"/>
          <w:kern w:val="0"/>
          <w:szCs w:val="24"/>
        </w:rPr>
      </w:pPr>
      <w:r>
        <w:rPr>
          <w:rFonts w:hint="eastAsia" w:cs="宋体" w:asciiTheme="minorEastAsia" w:hAnsiTheme="minorEastAsia" w:eastAsiaTheme="minorEastAsia"/>
          <w:color w:val="auto"/>
          <w:spacing w:val="0"/>
          <w:kern w:val="0"/>
          <w:szCs w:val="24"/>
        </w:rPr>
        <w:t>5.【报告内容采用限制】未经估价机构书面同意，本估价报告的全部或部分及任何参考资料均不允许在任何公开发表的文件、通告或声明中引用，亦不得以其他任何方式公开发表。</w:t>
      </w:r>
    </w:p>
    <w:p>
      <w:pPr>
        <w:shd w:val="clear"/>
        <w:tabs>
          <w:tab w:val="left" w:pos="1400"/>
        </w:tabs>
        <w:overflowPunct w:val="0"/>
        <w:topLinePunct/>
        <w:autoSpaceDE w:val="0"/>
        <w:spacing w:line="520" w:lineRule="exact"/>
        <w:ind w:firstLine="480" w:firstLineChars="200"/>
        <w:rPr>
          <w:rFonts w:hint="eastAsia" w:cs="宋体" w:asciiTheme="minorEastAsia" w:hAnsiTheme="minorEastAsia" w:eastAsiaTheme="minorEastAsia"/>
          <w:color w:val="auto"/>
          <w:spacing w:val="0"/>
          <w:kern w:val="0"/>
          <w:szCs w:val="24"/>
        </w:rPr>
      </w:pPr>
    </w:p>
    <w:p>
      <w:pPr>
        <w:shd w:val="clear"/>
        <w:tabs>
          <w:tab w:val="left" w:pos="1400"/>
        </w:tabs>
        <w:overflowPunct w:val="0"/>
        <w:topLinePunct/>
        <w:autoSpaceDE w:val="0"/>
        <w:spacing w:line="520" w:lineRule="exact"/>
        <w:ind w:firstLine="480" w:firstLineChars="200"/>
        <w:rPr>
          <w:rFonts w:hint="eastAsia" w:cs="宋体" w:asciiTheme="minorEastAsia" w:hAnsiTheme="minorEastAsia" w:eastAsiaTheme="minorEastAsia"/>
          <w:color w:val="auto"/>
          <w:spacing w:val="0"/>
          <w:kern w:val="0"/>
          <w:szCs w:val="24"/>
        </w:rPr>
      </w:pPr>
    </w:p>
    <w:p>
      <w:pPr>
        <w:shd w:val="clear"/>
        <w:spacing w:line="520" w:lineRule="exact"/>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房地产估价结果报告</w:t>
      </w:r>
    </w:p>
    <w:p>
      <w:pPr>
        <w:shd w:val="clear"/>
        <w:spacing w:line="520" w:lineRule="exact"/>
        <w:jc w:val="center"/>
        <w:rPr>
          <w:rFonts w:asciiTheme="minorEastAsia" w:hAnsiTheme="minorEastAsia" w:eastAsiaTheme="minorEastAsia"/>
          <w:b/>
          <w:color w:val="auto"/>
          <w:sz w:val="28"/>
          <w:szCs w:val="28"/>
        </w:rPr>
      </w:pPr>
    </w:p>
    <w:p>
      <w:pPr>
        <w:pStyle w:val="10"/>
        <w:keepNext w:val="0"/>
        <w:keepLines w:val="0"/>
        <w:pageBreakBefore w:val="0"/>
        <w:widowControl w:val="0"/>
        <w:shd w:val="clear"/>
        <w:kinsoku/>
        <w:wordWrap/>
        <w:overflowPunct/>
        <w:topLinePunct w:val="0"/>
        <w:bidi w:val="0"/>
        <w:spacing w:line="480" w:lineRule="exact"/>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一、估价委托人</w:t>
      </w:r>
    </w:p>
    <w:p>
      <w:pPr>
        <w:pStyle w:val="9"/>
        <w:keepNext w:val="0"/>
        <w:keepLines w:val="0"/>
        <w:pageBreakBefore w:val="0"/>
        <w:widowControl w:val="0"/>
        <w:shd w:val="clear"/>
        <w:kinsoku/>
        <w:wordWrap/>
        <w:overflowPunct/>
        <w:topLinePunct w:val="0"/>
        <w:bidi w:val="0"/>
        <w:spacing w:line="480" w:lineRule="exact"/>
        <w:ind w:firstLine="480" w:firstLineChars="200"/>
        <w:rPr>
          <w:rFonts w:hint="eastAsia" w:asciiTheme="minorEastAsia" w:hAnsiTheme="minorEastAsia"/>
          <w:color w:val="auto"/>
          <w:sz w:val="24"/>
          <w:szCs w:val="24"/>
          <w:lang w:eastAsia="zh-CN"/>
        </w:rPr>
      </w:pPr>
      <w:r>
        <w:rPr>
          <w:rFonts w:hint="eastAsia" w:asciiTheme="minorEastAsia" w:hAnsiTheme="minorEastAsia"/>
          <w:color w:val="auto"/>
          <w:sz w:val="24"/>
          <w:szCs w:val="24"/>
        </w:rPr>
        <w:t>名称：</w:t>
      </w:r>
      <w:r>
        <w:rPr>
          <w:rFonts w:hint="eastAsia" w:asciiTheme="minorEastAsia" w:hAnsiTheme="minorEastAsia"/>
          <w:color w:val="auto"/>
          <w:sz w:val="24"/>
          <w:szCs w:val="24"/>
          <w:lang w:eastAsia="zh-CN"/>
        </w:rPr>
        <w:t>六安市金安区人民法院</w:t>
      </w:r>
    </w:p>
    <w:p>
      <w:pPr>
        <w:pStyle w:val="9"/>
        <w:keepNext w:val="0"/>
        <w:keepLines w:val="0"/>
        <w:pageBreakBefore w:val="0"/>
        <w:widowControl w:val="0"/>
        <w:shd w:val="clear"/>
        <w:kinsoku/>
        <w:wordWrap/>
        <w:overflowPunct/>
        <w:topLinePunct w:val="0"/>
        <w:bidi w:val="0"/>
        <w:spacing w:line="480" w:lineRule="exact"/>
        <w:ind w:firstLine="480" w:firstLineChars="200"/>
        <w:rPr>
          <w:rFonts w:hint="eastAsia" w:asciiTheme="minorEastAsia" w:hAnsiTheme="minorEastAsia"/>
          <w:color w:val="auto"/>
          <w:sz w:val="24"/>
          <w:szCs w:val="24"/>
          <w:lang w:eastAsia="zh-CN"/>
        </w:rPr>
      </w:pPr>
      <w:r>
        <w:rPr>
          <w:rFonts w:hint="eastAsia" w:asciiTheme="minorEastAsia" w:hAnsiTheme="minorEastAsia"/>
          <w:color w:val="auto"/>
          <w:sz w:val="24"/>
          <w:szCs w:val="24"/>
          <w:lang w:eastAsia="zh-CN"/>
        </w:rPr>
        <w:t>地址：六安市金安区安丰路</w:t>
      </w:r>
    </w:p>
    <w:p>
      <w:pPr>
        <w:pStyle w:val="9"/>
        <w:keepNext w:val="0"/>
        <w:keepLines w:val="0"/>
        <w:pageBreakBefore w:val="0"/>
        <w:widowControl w:val="0"/>
        <w:shd w:val="clear"/>
        <w:kinsoku/>
        <w:wordWrap/>
        <w:overflowPunct/>
        <w:topLinePunct w:val="0"/>
        <w:bidi w:val="0"/>
        <w:spacing w:line="480" w:lineRule="exact"/>
        <w:rPr>
          <w:rFonts w:asciiTheme="minorEastAsia" w:hAnsiTheme="minorEastAsia"/>
          <w:b/>
          <w:color w:val="auto"/>
          <w:sz w:val="24"/>
          <w:szCs w:val="24"/>
        </w:rPr>
      </w:pPr>
      <w:bookmarkStart w:id="2" w:name="_Toc239751010"/>
      <w:r>
        <w:rPr>
          <w:rFonts w:hint="eastAsia" w:asciiTheme="minorEastAsia" w:hAnsiTheme="minorEastAsia"/>
          <w:b/>
          <w:color w:val="auto"/>
          <w:sz w:val="24"/>
          <w:szCs w:val="24"/>
        </w:rPr>
        <w:t>二、估价</w:t>
      </w:r>
      <w:bookmarkEnd w:id="2"/>
      <w:r>
        <w:rPr>
          <w:rFonts w:hint="eastAsia" w:asciiTheme="minorEastAsia" w:hAnsiTheme="minorEastAsia"/>
          <w:b/>
          <w:color w:val="auto"/>
          <w:sz w:val="24"/>
          <w:szCs w:val="24"/>
        </w:rPr>
        <w:t>机构</w:t>
      </w:r>
    </w:p>
    <w:p>
      <w:pPr>
        <w:keepNext w:val="0"/>
        <w:keepLines w:val="0"/>
        <w:pageBreakBefore w:val="0"/>
        <w:widowControl w:val="0"/>
        <w:shd w:val="clear"/>
        <w:kinsoku/>
        <w:wordWrap/>
        <w:overflowPunct/>
        <w:topLinePunct w:val="0"/>
        <w:autoSpaceDE/>
        <w:autoSpaceDN/>
        <w:bidi w:val="0"/>
        <w:adjustRightInd/>
        <w:snapToGrid/>
        <w:spacing w:line="560" w:lineRule="exact"/>
        <w:ind w:firstLine="480" w:firstLineChars="200"/>
        <w:textAlignment w:val="auto"/>
        <w:outlineLvl w:val="1"/>
        <w:rPr>
          <w:rFonts w:hint="eastAsia" w:asciiTheme="minorEastAsia" w:hAnsiTheme="minorEastAsia" w:eastAsiaTheme="minorEastAsia"/>
          <w:color w:val="auto"/>
          <w:spacing w:val="0"/>
        </w:rPr>
      </w:pPr>
      <w:bookmarkStart w:id="3" w:name="_Toc239751011"/>
      <w:r>
        <w:rPr>
          <w:rFonts w:hint="eastAsia" w:asciiTheme="minorEastAsia" w:hAnsiTheme="minorEastAsia" w:eastAsiaTheme="minorEastAsia"/>
          <w:color w:val="auto"/>
          <w:spacing w:val="0"/>
          <w:lang w:eastAsia="zh-CN"/>
        </w:rPr>
        <w:t>机</w:t>
      </w:r>
      <w:r>
        <w:rPr>
          <w:rFonts w:hint="eastAsia" w:asciiTheme="minorEastAsia" w:hAnsiTheme="minorEastAsia" w:eastAsiaTheme="minorEastAsia"/>
          <w:color w:val="auto"/>
          <w:spacing w:val="0"/>
          <w:lang w:val="en-US" w:eastAsia="zh-CN"/>
        </w:rPr>
        <w:t xml:space="preserve">  </w:t>
      </w:r>
      <w:r>
        <w:rPr>
          <w:rFonts w:hint="eastAsia" w:asciiTheme="minorEastAsia" w:hAnsiTheme="minorEastAsia" w:eastAsiaTheme="minorEastAsia"/>
          <w:color w:val="auto"/>
          <w:spacing w:val="0"/>
        </w:rPr>
        <w:t>构</w:t>
      </w:r>
      <w:r>
        <w:rPr>
          <w:rFonts w:hint="eastAsia" w:asciiTheme="minorEastAsia" w:hAnsiTheme="minorEastAsia" w:eastAsiaTheme="minorEastAsia"/>
          <w:color w:val="auto"/>
          <w:spacing w:val="0"/>
          <w:lang w:val="en-US" w:eastAsia="zh-CN"/>
        </w:rPr>
        <w:t xml:space="preserve">  </w:t>
      </w:r>
      <w:r>
        <w:rPr>
          <w:rFonts w:hint="eastAsia" w:asciiTheme="minorEastAsia" w:hAnsiTheme="minorEastAsia" w:eastAsiaTheme="minorEastAsia"/>
          <w:color w:val="auto"/>
          <w:spacing w:val="0"/>
        </w:rPr>
        <w:t>名</w:t>
      </w:r>
      <w:r>
        <w:rPr>
          <w:rFonts w:hint="eastAsia" w:asciiTheme="minorEastAsia" w:hAnsiTheme="minorEastAsia" w:eastAsiaTheme="minorEastAsia"/>
          <w:color w:val="auto"/>
          <w:spacing w:val="0"/>
          <w:lang w:val="en-US" w:eastAsia="zh-CN"/>
        </w:rPr>
        <w:t xml:space="preserve">  </w:t>
      </w:r>
      <w:r>
        <w:rPr>
          <w:rFonts w:hint="eastAsia" w:asciiTheme="minorEastAsia" w:hAnsiTheme="minorEastAsia" w:eastAsiaTheme="minorEastAsia"/>
          <w:color w:val="auto"/>
          <w:spacing w:val="0"/>
        </w:rPr>
        <w:t>称：安徽华兴房地产土地评估有限责任公司</w:t>
      </w:r>
    </w:p>
    <w:p>
      <w:pPr>
        <w:keepNext w:val="0"/>
        <w:keepLines w:val="0"/>
        <w:pageBreakBefore w:val="0"/>
        <w:widowControl w:val="0"/>
        <w:shd w:val="clear"/>
        <w:kinsoku/>
        <w:wordWrap/>
        <w:overflowPunct/>
        <w:topLinePunct w:val="0"/>
        <w:autoSpaceDE/>
        <w:autoSpaceDN/>
        <w:bidi w:val="0"/>
        <w:adjustRightInd/>
        <w:snapToGrid/>
        <w:spacing w:line="560" w:lineRule="exact"/>
        <w:ind w:firstLine="480" w:firstLineChars="200"/>
        <w:textAlignment w:val="auto"/>
        <w:outlineLvl w:val="1"/>
        <w:rPr>
          <w:rFonts w:hint="eastAsia" w:asciiTheme="minorEastAsia" w:hAnsiTheme="minorEastAsia" w:eastAsiaTheme="minorEastAsia"/>
          <w:color w:val="auto"/>
          <w:spacing w:val="0"/>
          <w:lang w:eastAsia="zh-CN"/>
        </w:rPr>
      </w:pPr>
      <w:r>
        <w:rPr>
          <w:rFonts w:hint="eastAsia" w:asciiTheme="minorEastAsia" w:hAnsiTheme="minorEastAsia" w:eastAsiaTheme="minorEastAsia"/>
          <w:color w:val="auto"/>
          <w:spacing w:val="0"/>
        </w:rPr>
        <w:t>法定代表人：</w:t>
      </w:r>
      <w:r>
        <w:rPr>
          <w:rFonts w:hint="eastAsia" w:asciiTheme="minorEastAsia" w:hAnsiTheme="minorEastAsia" w:eastAsiaTheme="minorEastAsia"/>
          <w:color w:val="auto"/>
          <w:spacing w:val="0"/>
          <w:lang w:eastAsia="zh-CN"/>
        </w:rPr>
        <w:t>施志君</w:t>
      </w:r>
    </w:p>
    <w:p>
      <w:pPr>
        <w:keepNext w:val="0"/>
        <w:keepLines w:val="0"/>
        <w:pageBreakBefore w:val="0"/>
        <w:widowControl w:val="0"/>
        <w:shd w:val="clear"/>
        <w:kinsoku/>
        <w:wordWrap/>
        <w:overflowPunct/>
        <w:topLinePunct w:val="0"/>
        <w:autoSpaceDE/>
        <w:autoSpaceDN/>
        <w:bidi w:val="0"/>
        <w:adjustRightInd/>
        <w:snapToGrid/>
        <w:spacing w:line="560" w:lineRule="exact"/>
        <w:ind w:firstLine="480" w:firstLineChars="200"/>
        <w:textAlignment w:val="auto"/>
        <w:outlineLvl w:val="1"/>
        <w:rPr>
          <w:rFonts w:hint="eastAsia" w:asciiTheme="minorEastAsia" w:hAnsiTheme="minorEastAsia" w:eastAsiaTheme="minorEastAsia"/>
          <w:color w:val="auto"/>
          <w:spacing w:val="0"/>
        </w:rPr>
      </w:pPr>
      <w:r>
        <w:rPr>
          <w:rFonts w:hint="eastAsia" w:asciiTheme="minorEastAsia" w:hAnsiTheme="minorEastAsia" w:eastAsiaTheme="minorEastAsia"/>
          <w:color w:val="auto"/>
          <w:spacing w:val="0"/>
        </w:rPr>
        <w:t>所  在  地  址：</w:t>
      </w:r>
      <w:r>
        <w:rPr>
          <w:rFonts w:hint="eastAsia" w:asciiTheme="minorEastAsia" w:hAnsiTheme="minorEastAsia" w:eastAsiaTheme="minorEastAsia"/>
          <w:color w:val="auto"/>
          <w:spacing w:val="0"/>
          <w:lang w:eastAsia="zh-CN"/>
        </w:rPr>
        <w:t>合肥市庐阳区</w:t>
      </w:r>
      <w:r>
        <w:rPr>
          <w:rFonts w:hint="eastAsia" w:asciiTheme="minorEastAsia" w:hAnsiTheme="minorEastAsia" w:eastAsiaTheme="minorEastAsia"/>
          <w:color w:val="auto"/>
          <w:spacing w:val="0"/>
        </w:rPr>
        <w:t>宿州路238号房产大厦B座9楼</w:t>
      </w:r>
    </w:p>
    <w:p>
      <w:pPr>
        <w:keepNext w:val="0"/>
        <w:keepLines w:val="0"/>
        <w:pageBreakBefore w:val="0"/>
        <w:widowControl w:val="0"/>
        <w:shd w:val="clear"/>
        <w:kinsoku/>
        <w:wordWrap/>
        <w:overflowPunct/>
        <w:topLinePunct w:val="0"/>
        <w:autoSpaceDE/>
        <w:autoSpaceDN/>
        <w:bidi w:val="0"/>
        <w:adjustRightInd/>
        <w:snapToGrid/>
        <w:spacing w:line="560" w:lineRule="exact"/>
        <w:ind w:firstLine="480" w:firstLineChars="200"/>
        <w:textAlignment w:val="auto"/>
        <w:outlineLvl w:val="1"/>
        <w:rPr>
          <w:rFonts w:hint="eastAsia" w:asciiTheme="minorEastAsia" w:hAnsiTheme="minorEastAsia" w:eastAsiaTheme="minorEastAsia"/>
          <w:color w:val="auto"/>
          <w:spacing w:val="0"/>
        </w:rPr>
      </w:pPr>
      <w:r>
        <w:rPr>
          <w:rFonts w:hint="eastAsia" w:asciiTheme="minorEastAsia" w:hAnsiTheme="minorEastAsia" w:eastAsiaTheme="minorEastAsia"/>
          <w:color w:val="auto"/>
          <w:spacing w:val="0"/>
        </w:rPr>
        <w:t>营业执照注册号:913401007117323125</w:t>
      </w:r>
    </w:p>
    <w:p>
      <w:pPr>
        <w:keepNext w:val="0"/>
        <w:keepLines w:val="0"/>
        <w:pageBreakBefore w:val="0"/>
        <w:widowControl w:val="0"/>
        <w:shd w:val="clear"/>
        <w:kinsoku/>
        <w:wordWrap/>
        <w:overflowPunct/>
        <w:topLinePunct w:val="0"/>
        <w:autoSpaceDE/>
        <w:autoSpaceDN/>
        <w:bidi w:val="0"/>
        <w:adjustRightInd/>
        <w:snapToGrid/>
        <w:spacing w:line="560" w:lineRule="exact"/>
        <w:ind w:firstLine="480" w:firstLineChars="200"/>
        <w:textAlignment w:val="auto"/>
        <w:outlineLvl w:val="1"/>
        <w:rPr>
          <w:rFonts w:hint="eastAsia" w:asciiTheme="minorEastAsia" w:hAnsiTheme="minorEastAsia" w:eastAsiaTheme="minorEastAsia"/>
          <w:color w:val="auto"/>
          <w:spacing w:val="0"/>
        </w:rPr>
      </w:pPr>
      <w:r>
        <w:rPr>
          <w:rFonts w:hint="eastAsia" w:asciiTheme="minorEastAsia" w:hAnsiTheme="minorEastAsia" w:eastAsiaTheme="minorEastAsia"/>
          <w:color w:val="auto"/>
          <w:spacing w:val="0"/>
        </w:rPr>
        <w:t>资  质  等  级：一级</w:t>
      </w:r>
    </w:p>
    <w:p>
      <w:pPr>
        <w:keepNext w:val="0"/>
        <w:keepLines w:val="0"/>
        <w:pageBreakBefore w:val="0"/>
        <w:widowControl w:val="0"/>
        <w:shd w:val="clear"/>
        <w:kinsoku/>
        <w:wordWrap/>
        <w:overflowPunct/>
        <w:topLinePunct w:val="0"/>
        <w:autoSpaceDE/>
        <w:autoSpaceDN/>
        <w:bidi w:val="0"/>
        <w:adjustRightInd/>
        <w:snapToGrid/>
        <w:spacing w:line="560" w:lineRule="exact"/>
        <w:ind w:firstLine="480" w:firstLineChars="200"/>
        <w:textAlignment w:val="auto"/>
        <w:outlineLvl w:val="1"/>
        <w:rPr>
          <w:rFonts w:hint="eastAsia" w:asciiTheme="minorEastAsia" w:hAnsiTheme="minorEastAsia" w:eastAsiaTheme="minorEastAsia"/>
          <w:color w:val="auto"/>
          <w:spacing w:val="0"/>
          <w:lang w:val="en-US" w:eastAsia="zh-CN"/>
        </w:rPr>
      </w:pPr>
      <w:r>
        <w:rPr>
          <w:rFonts w:hint="eastAsia" w:asciiTheme="minorEastAsia" w:hAnsiTheme="minorEastAsia" w:eastAsiaTheme="minorEastAsia"/>
          <w:color w:val="auto"/>
          <w:spacing w:val="0"/>
        </w:rPr>
        <w:t>证  书  编  号：</w:t>
      </w:r>
      <w:r>
        <w:rPr>
          <w:rFonts w:hint="eastAsia" w:asciiTheme="minorEastAsia" w:hAnsiTheme="minorEastAsia" w:eastAsiaTheme="minorEastAsia"/>
          <w:color w:val="auto"/>
          <w:spacing w:val="0"/>
          <w:lang w:val="en-US" w:eastAsia="zh-CN"/>
        </w:rPr>
        <w:t>GA221001</w:t>
      </w:r>
    </w:p>
    <w:p>
      <w:pPr>
        <w:keepNext w:val="0"/>
        <w:keepLines w:val="0"/>
        <w:pageBreakBefore w:val="0"/>
        <w:widowControl w:val="0"/>
        <w:shd w:val="clear"/>
        <w:kinsoku/>
        <w:wordWrap/>
        <w:overflowPunct/>
        <w:topLinePunct w:val="0"/>
        <w:autoSpaceDE/>
        <w:autoSpaceDN/>
        <w:bidi w:val="0"/>
        <w:adjustRightInd/>
        <w:snapToGrid/>
        <w:spacing w:line="560" w:lineRule="exact"/>
        <w:ind w:firstLine="480" w:firstLineChars="200"/>
        <w:textAlignment w:val="auto"/>
        <w:outlineLvl w:val="1"/>
        <w:rPr>
          <w:rFonts w:hint="default" w:asciiTheme="minorEastAsia" w:hAnsiTheme="minorEastAsia" w:eastAsiaTheme="minorEastAsia"/>
          <w:color w:val="auto"/>
          <w:spacing w:val="0"/>
          <w:lang w:val="en-US" w:eastAsia="zh-CN"/>
        </w:rPr>
      </w:pPr>
      <w:r>
        <w:rPr>
          <w:rFonts w:hint="eastAsia" w:asciiTheme="minorEastAsia" w:hAnsiTheme="minorEastAsia" w:eastAsiaTheme="minorEastAsia"/>
          <w:color w:val="auto"/>
          <w:spacing w:val="0"/>
        </w:rPr>
        <w:t>联  系  方  式：0551-</w:t>
      </w:r>
      <w:r>
        <w:rPr>
          <w:rFonts w:hint="eastAsia" w:asciiTheme="minorEastAsia" w:hAnsiTheme="minorEastAsia" w:eastAsiaTheme="minorEastAsia"/>
          <w:color w:val="auto"/>
          <w:spacing w:val="0"/>
          <w:lang w:val="en-US" w:eastAsia="zh-CN"/>
        </w:rPr>
        <w:t>62656099</w:t>
      </w:r>
    </w:p>
    <w:p>
      <w:pPr>
        <w:keepNext w:val="0"/>
        <w:keepLines w:val="0"/>
        <w:pageBreakBefore w:val="0"/>
        <w:widowControl w:val="0"/>
        <w:shd w:val="clear"/>
        <w:kinsoku/>
        <w:wordWrap/>
        <w:overflowPunct/>
        <w:topLinePunct w:val="0"/>
        <w:bidi w:val="0"/>
        <w:adjustRightInd w:val="0"/>
        <w:snapToGrid w:val="0"/>
        <w:spacing w:line="480" w:lineRule="exact"/>
        <w:rPr>
          <w:rFonts w:asciiTheme="minorEastAsia" w:hAnsiTheme="minorEastAsia" w:eastAsiaTheme="minorEastAsia"/>
          <w:b/>
          <w:color w:val="auto"/>
          <w:spacing w:val="0"/>
        </w:rPr>
      </w:pPr>
      <w:r>
        <w:rPr>
          <w:rFonts w:hint="eastAsia" w:asciiTheme="minorEastAsia" w:hAnsiTheme="minorEastAsia" w:eastAsiaTheme="minorEastAsia"/>
          <w:b/>
          <w:color w:val="auto"/>
          <w:spacing w:val="0"/>
        </w:rPr>
        <w:t>三、估价目的</w:t>
      </w:r>
    </w:p>
    <w:p>
      <w:pPr>
        <w:keepNext w:val="0"/>
        <w:keepLines w:val="0"/>
        <w:pageBreakBefore w:val="0"/>
        <w:widowControl w:val="0"/>
        <w:shd w:val="clear"/>
        <w:kinsoku/>
        <w:wordWrap/>
        <w:overflowPunct/>
        <w:topLinePunct w:val="0"/>
        <w:bidi w:val="0"/>
        <w:adjustRightInd w:val="0"/>
        <w:snapToGrid w:val="0"/>
        <w:spacing w:line="480" w:lineRule="exact"/>
        <w:ind w:firstLine="480" w:firstLineChars="200"/>
        <w:rPr>
          <w:rFonts w:hint="eastAsia" w:asciiTheme="minorEastAsia" w:hAnsiTheme="minorEastAsia" w:eastAsiaTheme="minorEastAsia"/>
          <w:color w:val="auto"/>
          <w:spacing w:val="0"/>
          <w:lang w:eastAsia="zh-CN"/>
        </w:rPr>
      </w:pPr>
      <w:r>
        <w:rPr>
          <w:rFonts w:hint="eastAsia" w:ascii="宋体" w:hAnsi="宋体" w:eastAsiaTheme="minorEastAsia"/>
          <w:color w:val="auto"/>
          <w:spacing w:val="0"/>
          <w:lang w:eastAsia="zh-CN"/>
        </w:rPr>
        <w:t>为人民法院确定财产处置参考价提供参考依据。</w:t>
      </w:r>
    </w:p>
    <w:p>
      <w:pPr>
        <w:pStyle w:val="10"/>
        <w:keepNext w:val="0"/>
        <w:keepLines w:val="0"/>
        <w:pageBreakBefore w:val="0"/>
        <w:widowControl w:val="0"/>
        <w:shd w:val="clear"/>
        <w:kinsoku/>
        <w:wordWrap/>
        <w:overflowPunct/>
        <w:topLinePunct w:val="0"/>
        <w:bidi w:val="0"/>
        <w:spacing w:line="48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四、估价对象</w:t>
      </w:r>
      <w:bookmarkEnd w:id="3"/>
    </w:p>
    <w:p>
      <w:pPr>
        <w:keepNext w:val="0"/>
        <w:keepLines w:val="0"/>
        <w:pageBreakBefore w:val="0"/>
        <w:widowControl w:val="0"/>
        <w:shd w:val="clear"/>
        <w:kinsoku/>
        <w:wordWrap/>
        <w:overflowPunct/>
        <w:topLinePunct w:val="0"/>
        <w:autoSpaceDE/>
        <w:autoSpaceDN/>
        <w:bidi w:val="0"/>
        <w:adjustRightInd/>
        <w:snapToGrid/>
        <w:spacing w:line="600" w:lineRule="exact"/>
        <w:ind w:firstLine="480" w:firstLineChars="200"/>
        <w:textAlignment w:val="auto"/>
        <w:outlineLvl w:val="1"/>
        <w:rPr>
          <w:rFonts w:hint="eastAsia" w:cs="Times New Roman" w:asciiTheme="minorEastAsia" w:hAnsiTheme="minorEastAsia" w:eastAsiaTheme="minorEastAsia"/>
          <w:color w:val="auto"/>
          <w:spacing w:val="0"/>
          <w:lang w:eastAsia="zh-CN"/>
        </w:rPr>
      </w:pPr>
      <w:r>
        <w:rPr>
          <w:rFonts w:hint="eastAsia" w:cs="Times New Roman" w:asciiTheme="minorEastAsia" w:hAnsiTheme="minorEastAsia" w:eastAsiaTheme="minorEastAsia"/>
          <w:color w:val="auto"/>
          <w:spacing w:val="0"/>
          <w:lang w:eastAsia="zh-CN"/>
        </w:rPr>
        <w:t>估价对象为六安市开发区经六路东侧的土地使用权及地上建筑物、附属物、绿化苗木等。</w:t>
      </w:r>
    </w:p>
    <w:p>
      <w:pPr>
        <w:keepNext w:val="0"/>
        <w:keepLines w:val="0"/>
        <w:pageBreakBefore w:val="0"/>
        <w:widowControl w:val="0"/>
        <w:shd w:val="clear"/>
        <w:kinsoku/>
        <w:wordWrap/>
        <w:overflowPunct/>
        <w:topLinePunct w:val="0"/>
        <w:autoSpaceDE/>
        <w:autoSpaceDN/>
        <w:bidi w:val="0"/>
        <w:adjustRightInd/>
        <w:snapToGrid/>
        <w:spacing w:line="600" w:lineRule="exact"/>
        <w:ind w:firstLine="480" w:firstLineChars="200"/>
        <w:textAlignment w:val="auto"/>
        <w:outlineLvl w:val="1"/>
        <w:rPr>
          <w:rFonts w:hint="eastAsia" w:cs="Times New Roman" w:asciiTheme="minorEastAsia" w:hAnsiTheme="minorEastAsia" w:eastAsiaTheme="minorEastAsia"/>
          <w:color w:val="auto"/>
          <w:spacing w:val="0"/>
          <w:lang w:eastAsia="zh-CN"/>
        </w:rPr>
      </w:pPr>
      <w:r>
        <w:rPr>
          <w:rFonts w:hint="eastAsia" w:cs="Times New Roman" w:asciiTheme="minorEastAsia" w:hAnsiTheme="minorEastAsia" w:eastAsiaTheme="minorEastAsia"/>
          <w:color w:val="auto"/>
          <w:spacing w:val="0"/>
          <w:lang w:eastAsia="zh-CN"/>
        </w:rPr>
        <w:t>（一）实物状况</w:t>
      </w:r>
    </w:p>
    <w:p>
      <w:pPr>
        <w:keepNext w:val="0"/>
        <w:keepLines w:val="0"/>
        <w:pageBreakBefore w:val="0"/>
        <w:widowControl w:val="0"/>
        <w:shd w:val="clear"/>
        <w:kinsoku/>
        <w:wordWrap/>
        <w:overflowPunct/>
        <w:topLinePunct w:val="0"/>
        <w:autoSpaceDE/>
        <w:autoSpaceDN/>
        <w:bidi w:val="0"/>
        <w:adjustRightInd/>
        <w:snapToGrid/>
        <w:spacing w:line="600" w:lineRule="exact"/>
        <w:ind w:firstLine="480" w:firstLineChars="200"/>
        <w:textAlignment w:val="auto"/>
        <w:outlineLvl w:val="1"/>
        <w:rPr>
          <w:rFonts w:hint="eastAsia" w:cs="Times New Roman" w:asciiTheme="minorEastAsia" w:hAnsiTheme="minorEastAsia" w:eastAsiaTheme="minorEastAsia"/>
          <w:color w:val="auto"/>
          <w:spacing w:val="0"/>
          <w:lang w:eastAsia="zh-CN"/>
        </w:rPr>
      </w:pPr>
      <w:r>
        <w:rPr>
          <w:rFonts w:hint="eastAsia" w:cs="Times New Roman" w:asciiTheme="minorEastAsia" w:hAnsiTheme="minorEastAsia" w:eastAsiaTheme="minorEastAsia"/>
          <w:color w:val="auto"/>
          <w:spacing w:val="0"/>
          <w:lang w:eastAsia="zh-CN"/>
        </w:rPr>
        <w:t>1、土地实物状况：</w:t>
      </w:r>
    </w:p>
    <w:p>
      <w:pPr>
        <w:keepNext w:val="0"/>
        <w:keepLines w:val="0"/>
        <w:pageBreakBefore w:val="0"/>
        <w:widowControl w:val="0"/>
        <w:shd w:val="clear"/>
        <w:kinsoku/>
        <w:wordWrap/>
        <w:overflowPunct/>
        <w:topLinePunct w:val="0"/>
        <w:autoSpaceDE/>
        <w:autoSpaceDN/>
        <w:bidi w:val="0"/>
        <w:adjustRightInd/>
        <w:snapToGrid/>
        <w:spacing w:line="600" w:lineRule="exact"/>
        <w:ind w:firstLine="480" w:firstLineChars="200"/>
        <w:textAlignment w:val="auto"/>
        <w:outlineLvl w:val="1"/>
        <w:rPr>
          <w:rFonts w:hint="eastAsia" w:cs="Times New Roman" w:asciiTheme="minorEastAsia" w:hAnsiTheme="minorEastAsia" w:eastAsiaTheme="minorEastAsia"/>
          <w:color w:val="auto"/>
          <w:spacing w:val="0"/>
          <w:lang w:eastAsia="zh-CN"/>
        </w:rPr>
      </w:pPr>
      <w:r>
        <w:rPr>
          <w:rFonts w:hint="eastAsia" w:cs="Times New Roman" w:asciiTheme="minorEastAsia" w:hAnsiTheme="minorEastAsia" w:eastAsiaTheme="minorEastAsia"/>
          <w:color w:val="auto"/>
          <w:spacing w:val="0"/>
          <w:lang w:eastAsia="zh-CN"/>
        </w:rPr>
        <w:t>估价对象宗地坐落于六安市开发区经六路东侧，使用权面积为</w:t>
      </w:r>
      <w:r>
        <w:rPr>
          <w:rFonts w:hint="eastAsia" w:cs="Times New Roman" w:asciiTheme="minorEastAsia" w:hAnsiTheme="minorEastAsia" w:eastAsiaTheme="minorEastAsia"/>
          <w:color w:val="auto"/>
          <w:spacing w:val="0"/>
          <w:lang w:val="en-US" w:eastAsia="zh-CN"/>
        </w:rPr>
        <w:t>14828.37</w:t>
      </w:r>
      <w:r>
        <w:rPr>
          <w:rFonts w:hint="eastAsia" w:cs="Times New Roman" w:asciiTheme="minorEastAsia" w:hAnsiTheme="minorEastAsia" w:eastAsiaTheme="minorEastAsia"/>
          <w:color w:val="auto"/>
          <w:spacing w:val="0"/>
          <w:lang w:eastAsia="zh-CN"/>
        </w:rPr>
        <w:t>平方米，东至用地界线、南至用地界线、西至东城都路、北至皋城路，土地形状较规则，地势平坦，地质状况良好，土地开发程度为“六通一平”（通路、通电、通上水、通下水、通讯、通燃气及宗地内场地平整)。</w:t>
      </w:r>
    </w:p>
    <w:p>
      <w:pPr>
        <w:keepNext w:val="0"/>
        <w:keepLines w:val="0"/>
        <w:pageBreakBefore w:val="0"/>
        <w:widowControl w:val="0"/>
        <w:shd w:val="clear"/>
        <w:kinsoku/>
        <w:wordWrap/>
        <w:overflowPunct/>
        <w:topLinePunct w:val="0"/>
        <w:autoSpaceDE/>
        <w:autoSpaceDN/>
        <w:bidi w:val="0"/>
        <w:adjustRightInd/>
        <w:snapToGrid/>
        <w:spacing w:line="600" w:lineRule="exact"/>
        <w:ind w:firstLine="480" w:firstLineChars="200"/>
        <w:textAlignment w:val="auto"/>
        <w:outlineLvl w:val="1"/>
        <w:rPr>
          <w:rFonts w:hint="eastAsia" w:cs="Times New Roman" w:asciiTheme="minorEastAsia" w:hAnsiTheme="minorEastAsia" w:eastAsiaTheme="minorEastAsia"/>
          <w:color w:val="auto"/>
          <w:spacing w:val="0"/>
          <w:lang w:eastAsia="zh-CN"/>
        </w:rPr>
      </w:pPr>
    </w:p>
    <w:p>
      <w:pPr>
        <w:keepNext w:val="0"/>
        <w:keepLines w:val="0"/>
        <w:pageBreakBefore w:val="0"/>
        <w:widowControl w:val="0"/>
        <w:shd w:val="clear"/>
        <w:kinsoku/>
        <w:wordWrap/>
        <w:overflowPunct/>
        <w:topLinePunct w:val="0"/>
        <w:autoSpaceDE/>
        <w:autoSpaceDN/>
        <w:bidi w:val="0"/>
        <w:adjustRightInd/>
        <w:snapToGrid/>
        <w:spacing w:line="600" w:lineRule="exact"/>
        <w:ind w:firstLine="480" w:firstLineChars="200"/>
        <w:textAlignment w:val="auto"/>
        <w:outlineLvl w:val="1"/>
        <w:rPr>
          <w:rFonts w:hint="eastAsia" w:cs="Times New Roman" w:asciiTheme="minorEastAsia" w:hAnsiTheme="minorEastAsia" w:eastAsiaTheme="minorEastAsia"/>
          <w:color w:val="auto"/>
          <w:spacing w:val="0"/>
          <w:lang w:eastAsia="zh-CN"/>
        </w:rPr>
      </w:pPr>
      <w:r>
        <w:rPr>
          <w:rFonts w:hint="eastAsia" w:cs="Times New Roman" w:asciiTheme="minorEastAsia" w:hAnsiTheme="minorEastAsia" w:eastAsiaTheme="minorEastAsia"/>
          <w:color w:val="auto"/>
          <w:spacing w:val="0"/>
          <w:lang w:eastAsia="zh-CN"/>
        </w:rPr>
        <w:t>2、建筑物实物状况：</w:t>
      </w:r>
    </w:p>
    <w:p>
      <w:pPr>
        <w:keepNext w:val="0"/>
        <w:keepLines w:val="0"/>
        <w:pageBreakBefore w:val="0"/>
        <w:widowControl w:val="0"/>
        <w:shd w:val="clear"/>
        <w:kinsoku/>
        <w:wordWrap/>
        <w:overflowPunct/>
        <w:topLinePunct w:val="0"/>
        <w:autoSpaceDE/>
        <w:autoSpaceDN/>
        <w:bidi w:val="0"/>
        <w:adjustRightInd/>
        <w:snapToGrid/>
        <w:spacing w:line="600" w:lineRule="exact"/>
        <w:ind w:firstLine="480" w:firstLineChars="200"/>
        <w:textAlignment w:val="auto"/>
        <w:outlineLvl w:val="1"/>
        <w:rPr>
          <w:rFonts w:hint="eastAsia" w:cs="Times New Roman" w:asciiTheme="minorEastAsia" w:hAnsiTheme="minorEastAsia" w:eastAsiaTheme="minorEastAsia"/>
          <w:color w:val="auto"/>
          <w:spacing w:val="0"/>
          <w:lang w:eastAsia="zh-CN"/>
        </w:rPr>
      </w:pPr>
      <w:r>
        <w:rPr>
          <w:rFonts w:hint="eastAsia" w:cs="Times New Roman" w:asciiTheme="minorEastAsia" w:hAnsiTheme="minorEastAsia" w:eastAsiaTheme="minorEastAsia"/>
          <w:color w:val="auto"/>
          <w:spacing w:val="0"/>
          <w:lang w:eastAsia="zh-CN"/>
        </w:rPr>
        <w:t>估价对象位于六安市开发区经六路东侧。上水、下水、电、消防等配套设施齐全。目前为第三方使用。</w:t>
      </w:r>
    </w:p>
    <w:tbl>
      <w:tblPr>
        <w:tblStyle w:val="18"/>
        <w:tblW w:w="9636" w:type="dxa"/>
        <w:jc w:val="center"/>
        <w:tblLayout w:type="fixed"/>
        <w:tblCellMar>
          <w:top w:w="0" w:type="dxa"/>
          <w:left w:w="0" w:type="dxa"/>
          <w:bottom w:w="0" w:type="dxa"/>
          <w:right w:w="0" w:type="dxa"/>
        </w:tblCellMar>
      </w:tblPr>
      <w:tblGrid>
        <w:gridCol w:w="1540"/>
        <w:gridCol w:w="1105"/>
        <w:gridCol w:w="1129"/>
        <w:gridCol w:w="969"/>
        <w:gridCol w:w="914"/>
        <w:gridCol w:w="700"/>
        <w:gridCol w:w="930"/>
        <w:gridCol w:w="2349"/>
      </w:tblGrid>
      <w:tr>
        <w:tblPrEx>
          <w:tblCellMar>
            <w:top w:w="0" w:type="dxa"/>
            <w:left w:w="0" w:type="dxa"/>
            <w:bottom w:w="0" w:type="dxa"/>
            <w:right w:w="0" w:type="dxa"/>
          </w:tblCellMar>
        </w:tblPrEx>
        <w:trPr>
          <w:trHeight w:val="469" w:hRule="atLeast"/>
          <w:jc w:val="center"/>
        </w:trPr>
        <w:tc>
          <w:tcPr>
            <w:tcW w:w="9636" w:type="dxa"/>
            <w:gridSpan w:val="8"/>
            <w:tcBorders>
              <w:top w:val="nil"/>
              <w:left w:val="nil"/>
              <w:bottom w:val="single" w:color="auto" w:sz="4" w:space="0"/>
              <w:right w:val="nil"/>
            </w:tcBorders>
            <w:shd w:val="clear" w:color="auto" w:fill="auto"/>
            <w:noWrap/>
            <w:tcMar>
              <w:top w:w="15" w:type="dxa"/>
              <w:left w:w="15" w:type="dxa"/>
              <w:right w:w="15" w:type="dxa"/>
            </w:tcMar>
            <w:vAlign w:val="center"/>
          </w:tcPr>
          <w:p>
            <w:pPr>
              <w:widowControl/>
              <w:shd w:val="clear"/>
              <w:spacing w:line="340" w:lineRule="exact"/>
              <w:jc w:val="center"/>
              <w:textAlignment w:val="center"/>
              <w:rPr>
                <w:rFonts w:hint="eastAsia" w:ascii="宋体" w:hAnsi="宋体" w:cs="宋体" w:eastAsiaTheme="minorEastAsia"/>
                <w:b/>
                <w:bCs/>
                <w:color w:val="auto"/>
                <w:kern w:val="0"/>
                <w:sz w:val="21"/>
                <w:szCs w:val="21"/>
                <w:lang w:eastAsia="zh-CN"/>
              </w:rPr>
            </w:pPr>
            <w:r>
              <w:rPr>
                <w:rFonts w:hint="eastAsia" w:ascii="宋体" w:hAnsi="宋体" w:cs="宋体" w:eastAsiaTheme="minorEastAsia"/>
                <w:b/>
                <w:bCs/>
                <w:color w:val="auto"/>
                <w:kern w:val="0"/>
                <w:sz w:val="21"/>
                <w:szCs w:val="21"/>
                <w:lang w:eastAsia="zh-CN"/>
              </w:rPr>
              <w:t>估价对象已办理产权登记建筑物实物情况一览表</w:t>
            </w:r>
          </w:p>
        </w:tc>
      </w:tr>
      <w:tr>
        <w:tblPrEx>
          <w:tblCellMar>
            <w:top w:w="0" w:type="dxa"/>
            <w:left w:w="0" w:type="dxa"/>
            <w:bottom w:w="0" w:type="dxa"/>
            <w:right w:w="0" w:type="dxa"/>
          </w:tblCellMar>
        </w:tblPrEx>
        <w:trPr>
          <w:trHeight w:val="469" w:hRule="atLeast"/>
          <w:jc w:val="center"/>
        </w:trPr>
        <w:tc>
          <w:tcPr>
            <w:tcW w:w="154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b/>
                <w:bCs/>
                <w:color w:val="auto"/>
                <w:sz w:val="21"/>
                <w:szCs w:val="21"/>
                <w:lang w:eastAsia="zh-CN"/>
              </w:rPr>
            </w:pPr>
            <w:r>
              <w:rPr>
                <w:rFonts w:hint="eastAsia" w:cs="宋体" w:asciiTheme="minorEastAsia" w:hAnsiTheme="minorEastAsia" w:eastAsiaTheme="minorEastAsia"/>
                <w:b/>
                <w:bCs/>
                <w:color w:val="auto"/>
                <w:kern w:val="0"/>
                <w:sz w:val="21"/>
                <w:szCs w:val="21"/>
                <w:lang w:eastAsia="zh-CN"/>
              </w:rPr>
              <w:t>房地产权利人</w:t>
            </w:r>
          </w:p>
        </w:tc>
        <w:tc>
          <w:tcPr>
            <w:tcW w:w="110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名称</w:t>
            </w:r>
          </w:p>
        </w:tc>
        <w:tc>
          <w:tcPr>
            <w:tcW w:w="112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面积（m</w:t>
            </w:r>
            <w:r>
              <w:rPr>
                <w:rStyle w:val="50"/>
                <w:rFonts w:hint="default" w:asciiTheme="minorEastAsia" w:hAnsiTheme="minorEastAsia" w:eastAsiaTheme="minorEastAsia"/>
                <w:b/>
                <w:bCs/>
                <w:color w:val="auto"/>
                <w:sz w:val="21"/>
                <w:szCs w:val="21"/>
              </w:rPr>
              <w:t>2</w:t>
            </w:r>
            <w:r>
              <w:rPr>
                <w:rStyle w:val="51"/>
                <w:rFonts w:hint="default" w:asciiTheme="minorEastAsia" w:hAnsiTheme="minorEastAsia" w:eastAsiaTheme="minorEastAsia"/>
                <w:b/>
                <w:bCs/>
                <w:color w:val="auto"/>
                <w:sz w:val="21"/>
                <w:szCs w:val="21"/>
              </w:rPr>
              <w:t>）</w:t>
            </w:r>
          </w:p>
        </w:tc>
        <w:tc>
          <w:tcPr>
            <w:tcW w:w="96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结构</w:t>
            </w:r>
          </w:p>
        </w:tc>
        <w:tc>
          <w:tcPr>
            <w:tcW w:w="91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层数</w:t>
            </w:r>
          </w:p>
        </w:tc>
        <w:tc>
          <w:tcPr>
            <w:tcW w:w="7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lang w:eastAsia="zh-CN"/>
              </w:rPr>
              <w:t>设计</w:t>
            </w:r>
            <w:r>
              <w:rPr>
                <w:rFonts w:hint="eastAsia" w:cs="宋体" w:asciiTheme="minorEastAsia" w:hAnsiTheme="minorEastAsia" w:eastAsiaTheme="minorEastAsia"/>
                <w:b/>
                <w:bCs/>
                <w:color w:val="auto"/>
                <w:kern w:val="0"/>
                <w:sz w:val="21"/>
                <w:szCs w:val="21"/>
              </w:rPr>
              <w:t>用途</w:t>
            </w:r>
          </w:p>
        </w:tc>
        <w:tc>
          <w:tcPr>
            <w:tcW w:w="93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建成年代</w:t>
            </w:r>
          </w:p>
        </w:tc>
        <w:tc>
          <w:tcPr>
            <w:tcW w:w="234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340" w:lineRule="exact"/>
              <w:jc w:val="center"/>
              <w:textAlignment w:val="center"/>
              <w:rPr>
                <w:rFonts w:hint="eastAsia" w:cs="宋体" w:asciiTheme="minorEastAsia" w:hAnsiTheme="minorEastAsia" w:eastAsiaTheme="minorEastAsia"/>
                <w:b/>
                <w:bCs/>
                <w:color w:val="auto"/>
                <w:kern w:val="0"/>
                <w:sz w:val="21"/>
                <w:szCs w:val="21"/>
                <w:lang w:eastAsia="zh-CN"/>
              </w:rPr>
            </w:pPr>
            <w:r>
              <w:rPr>
                <w:rFonts w:hint="eastAsia" w:ascii="宋体" w:hAnsi="宋体" w:cs="宋体" w:eastAsiaTheme="minorEastAsia"/>
                <w:b/>
                <w:bCs/>
                <w:color w:val="auto"/>
                <w:kern w:val="0"/>
                <w:sz w:val="21"/>
                <w:szCs w:val="21"/>
                <w:lang w:eastAsia="zh-CN"/>
              </w:rPr>
              <w:t>实物状况</w:t>
            </w:r>
          </w:p>
        </w:tc>
      </w:tr>
      <w:tr>
        <w:tblPrEx>
          <w:tblCellMar>
            <w:top w:w="0" w:type="dxa"/>
            <w:left w:w="0" w:type="dxa"/>
            <w:bottom w:w="0" w:type="dxa"/>
            <w:right w:w="0" w:type="dxa"/>
          </w:tblCellMar>
        </w:tblPrEx>
        <w:trPr>
          <w:trHeight w:val="1377" w:hRule="atLeast"/>
          <w:jc w:val="center"/>
        </w:trPr>
        <w:tc>
          <w:tcPr>
            <w:tcW w:w="154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eastAsia="zh-CN"/>
              </w:rPr>
            </w:pPr>
            <w:r>
              <w:rPr>
                <w:rFonts w:hint="eastAsia" w:cs="宋体" w:asciiTheme="minorEastAsia" w:hAnsiTheme="minorEastAsia" w:eastAsiaTheme="minorEastAsia"/>
                <w:color w:val="auto"/>
                <w:kern w:val="0"/>
                <w:sz w:val="21"/>
                <w:szCs w:val="21"/>
                <w:lang w:eastAsia="zh-CN"/>
              </w:rPr>
              <w:t>六安颇美特建设机械有限公司</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lang w:val="en-US" w:eastAsia="zh-CN"/>
              </w:rPr>
              <w:t>1#</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lang w:val="en-US" w:eastAsia="zh-CN"/>
              </w:rPr>
              <w:t>4010.50</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eastAsia="zh-CN"/>
              </w:rPr>
            </w:pPr>
            <w:r>
              <w:rPr>
                <w:rFonts w:hint="eastAsia" w:cs="宋体" w:asciiTheme="minorEastAsia" w:hAnsiTheme="minorEastAsia" w:eastAsiaTheme="minorEastAsia"/>
                <w:color w:val="auto"/>
                <w:sz w:val="21"/>
                <w:szCs w:val="21"/>
                <w:lang w:eastAsia="zh-CN"/>
              </w:rPr>
              <w:t>钢混</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kern w:val="0"/>
                <w:sz w:val="21"/>
                <w:szCs w:val="21"/>
              </w:rPr>
              <w:t>1</w:t>
            </w:r>
            <w:r>
              <w:rPr>
                <w:rFonts w:hint="eastAsia" w:cs="宋体" w:asciiTheme="minorEastAsia" w:hAnsiTheme="minorEastAsia" w:eastAsiaTheme="minorEastAsia"/>
                <w:color w:val="auto"/>
                <w:kern w:val="0"/>
                <w:sz w:val="21"/>
                <w:szCs w:val="21"/>
                <w:lang w:val="en-US" w:eastAsia="zh-CN"/>
              </w:rPr>
              <w:t>-5</w:t>
            </w:r>
            <w:r>
              <w:rPr>
                <w:rFonts w:hint="eastAsia" w:cs="宋体" w:asciiTheme="minorEastAsia" w:hAnsiTheme="minorEastAsia" w:eastAsiaTheme="minorEastAsia"/>
                <w:color w:val="auto"/>
                <w:kern w:val="0"/>
                <w:sz w:val="21"/>
                <w:szCs w:val="21"/>
              </w:rPr>
              <w:t>/</w:t>
            </w:r>
            <w:r>
              <w:rPr>
                <w:rFonts w:hint="eastAsia" w:cs="宋体" w:asciiTheme="minorEastAsia" w:hAnsiTheme="minorEastAsia" w:eastAsiaTheme="minorEastAsia"/>
                <w:color w:val="auto"/>
                <w:kern w:val="0"/>
                <w:sz w:val="21"/>
                <w:szCs w:val="21"/>
                <w:lang w:val="en-US" w:eastAsia="zh-CN"/>
              </w:rPr>
              <w:t>5</w:t>
            </w:r>
            <w:r>
              <w:rPr>
                <w:rFonts w:hint="eastAsia" w:cs="宋体" w:asciiTheme="minorEastAsia" w:hAnsiTheme="minorEastAsia" w:eastAsiaTheme="minorEastAsia"/>
                <w:color w:val="auto"/>
                <w:kern w:val="0"/>
                <w:sz w:val="21"/>
                <w:szCs w:val="21"/>
              </w:rPr>
              <w:t>F</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kern w:val="0"/>
                <w:sz w:val="21"/>
                <w:szCs w:val="21"/>
              </w:rPr>
              <w:t>工业</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kern w:val="0"/>
                <w:sz w:val="21"/>
                <w:szCs w:val="21"/>
                <w:lang w:val="en-US" w:eastAsia="zh-CN"/>
              </w:rPr>
              <w:t>2008年</w:t>
            </w:r>
          </w:p>
        </w:tc>
        <w:tc>
          <w:tcPr>
            <w:tcW w:w="2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340" w:lineRule="exact"/>
              <w:jc w:val="center"/>
              <w:textAlignment w:val="center"/>
              <w:rPr>
                <w:rFonts w:hint="default" w:eastAsia="宋体" w:cs="宋体" w:asciiTheme="minorEastAsia" w:hAnsiTheme="minorEastAsia"/>
                <w:color w:val="auto"/>
                <w:kern w:val="0"/>
                <w:sz w:val="21"/>
                <w:szCs w:val="21"/>
                <w:lang w:val="en-US" w:eastAsia="zh-CN"/>
              </w:rPr>
            </w:pPr>
            <w:r>
              <w:rPr>
                <w:rFonts w:hint="eastAsia" w:cs="宋体" w:asciiTheme="minorEastAsia" w:hAnsiTheme="minorEastAsia"/>
                <w:color w:val="auto"/>
                <w:kern w:val="0"/>
                <w:sz w:val="21"/>
                <w:szCs w:val="21"/>
                <w:lang w:val="en-US" w:eastAsia="zh-CN"/>
              </w:rPr>
              <w:t>外墙涂料，内墙乳胶漆，1-4层室内为毛坯，五楼入户门为防盗门，地面铺地砖，墙面乳胶漆，顶棚部分石膏板吊顶部分涂料。电梯一部。</w:t>
            </w:r>
          </w:p>
        </w:tc>
      </w:tr>
      <w:tr>
        <w:tblPrEx>
          <w:tblCellMar>
            <w:top w:w="0" w:type="dxa"/>
            <w:left w:w="0" w:type="dxa"/>
            <w:bottom w:w="0" w:type="dxa"/>
            <w:right w:w="0" w:type="dxa"/>
          </w:tblCellMar>
        </w:tblPrEx>
        <w:trPr>
          <w:trHeight w:val="1377" w:hRule="atLeast"/>
          <w:jc w:val="center"/>
        </w:trPr>
        <w:tc>
          <w:tcPr>
            <w:tcW w:w="154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lang w:val="en-US" w:eastAsia="zh-CN"/>
              </w:rPr>
              <w:t>2#</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lang w:val="en-US" w:eastAsia="zh-CN"/>
              </w:rPr>
              <w:t>684.51</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eastAsia="zh-CN"/>
              </w:rPr>
            </w:pPr>
            <w:r>
              <w:rPr>
                <w:rFonts w:hint="eastAsia" w:cs="宋体" w:asciiTheme="minorEastAsia" w:hAnsiTheme="minorEastAsia" w:eastAsiaTheme="minorEastAsia"/>
                <w:color w:val="auto"/>
                <w:sz w:val="21"/>
                <w:szCs w:val="21"/>
                <w:lang w:eastAsia="zh-CN"/>
              </w:rPr>
              <w:t>钢混</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kern w:val="0"/>
                <w:sz w:val="21"/>
                <w:szCs w:val="21"/>
              </w:rPr>
              <w:t>1</w:t>
            </w:r>
            <w:r>
              <w:rPr>
                <w:rFonts w:hint="eastAsia" w:cs="宋体" w:asciiTheme="minorEastAsia" w:hAnsiTheme="minorEastAsia" w:eastAsiaTheme="minorEastAsia"/>
                <w:color w:val="auto"/>
                <w:kern w:val="0"/>
                <w:sz w:val="21"/>
                <w:szCs w:val="21"/>
                <w:lang w:val="en-US" w:eastAsia="zh-CN"/>
              </w:rPr>
              <w:t>-2</w:t>
            </w:r>
            <w:r>
              <w:rPr>
                <w:rFonts w:hint="eastAsia" w:cs="宋体" w:asciiTheme="minorEastAsia" w:hAnsiTheme="minorEastAsia" w:eastAsiaTheme="minorEastAsia"/>
                <w:color w:val="auto"/>
                <w:kern w:val="0"/>
                <w:sz w:val="21"/>
                <w:szCs w:val="21"/>
              </w:rPr>
              <w:t>/</w:t>
            </w:r>
            <w:r>
              <w:rPr>
                <w:rFonts w:hint="eastAsia" w:cs="宋体" w:asciiTheme="minorEastAsia" w:hAnsiTheme="minorEastAsia" w:eastAsiaTheme="minorEastAsia"/>
                <w:color w:val="auto"/>
                <w:kern w:val="0"/>
                <w:sz w:val="21"/>
                <w:szCs w:val="21"/>
                <w:lang w:val="en-US" w:eastAsia="zh-CN"/>
              </w:rPr>
              <w:t>2</w:t>
            </w:r>
            <w:r>
              <w:rPr>
                <w:rFonts w:hint="eastAsia" w:cs="宋体" w:asciiTheme="minorEastAsia" w:hAnsiTheme="minorEastAsia" w:eastAsiaTheme="minorEastAsia"/>
                <w:color w:val="auto"/>
                <w:kern w:val="0"/>
                <w:sz w:val="21"/>
                <w:szCs w:val="21"/>
              </w:rPr>
              <w:t>F</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kern w:val="0"/>
                <w:sz w:val="21"/>
                <w:szCs w:val="21"/>
              </w:rPr>
              <w:t>工业</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kern w:val="0"/>
                <w:sz w:val="21"/>
                <w:szCs w:val="21"/>
                <w:lang w:val="en-US" w:eastAsia="zh-CN"/>
              </w:rPr>
              <w:t>2008年</w:t>
            </w:r>
          </w:p>
        </w:tc>
        <w:tc>
          <w:tcPr>
            <w:tcW w:w="2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340" w:lineRule="exact"/>
              <w:jc w:val="center"/>
              <w:textAlignment w:val="center"/>
              <w:rPr>
                <w:rFonts w:hint="default" w:cs="宋体" w:asciiTheme="minorEastAsia" w:hAnsiTheme="minorEastAsia" w:eastAsiaTheme="minorEastAsia"/>
                <w:color w:val="auto"/>
                <w:kern w:val="0"/>
                <w:sz w:val="21"/>
                <w:szCs w:val="21"/>
                <w:lang w:val="en-US" w:eastAsia="zh-CN"/>
              </w:rPr>
            </w:pPr>
            <w:r>
              <w:rPr>
                <w:rFonts w:hint="eastAsia" w:cs="宋体" w:asciiTheme="minorEastAsia" w:hAnsiTheme="minorEastAsia"/>
                <w:color w:val="auto"/>
                <w:kern w:val="0"/>
                <w:sz w:val="21"/>
                <w:szCs w:val="21"/>
                <w:lang w:val="en-US" w:eastAsia="zh-CN"/>
              </w:rPr>
              <w:t>外墙涂料，内墙乳胶漆，地面铺地砖，墙面乳胶漆，顶棚部分石膏板吊顶部分涂料，塑钢窗，成品木门</w:t>
            </w:r>
            <w:r>
              <w:rPr>
                <w:rFonts w:hint="eastAsia" w:ascii="宋体" w:hAnsi="宋体" w:cs="宋体" w:eastAsiaTheme="minorEastAsia"/>
                <w:color w:val="auto"/>
                <w:kern w:val="0"/>
                <w:sz w:val="21"/>
                <w:szCs w:val="21"/>
                <w:lang w:val="en-US" w:eastAsia="zh-CN"/>
              </w:rPr>
              <w:t>。南侧二楼有墙柜</w:t>
            </w:r>
          </w:p>
        </w:tc>
      </w:tr>
      <w:tr>
        <w:tblPrEx>
          <w:tblCellMar>
            <w:top w:w="0" w:type="dxa"/>
            <w:left w:w="0" w:type="dxa"/>
            <w:bottom w:w="0" w:type="dxa"/>
            <w:right w:w="0" w:type="dxa"/>
          </w:tblCellMar>
        </w:tblPrEx>
        <w:trPr>
          <w:trHeight w:val="1039" w:hRule="atLeast"/>
          <w:jc w:val="center"/>
        </w:trPr>
        <w:tc>
          <w:tcPr>
            <w:tcW w:w="154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lang w:val="en-US" w:eastAsia="zh-CN"/>
              </w:rPr>
              <w:t>3#</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lang w:val="en-US" w:eastAsia="zh-CN"/>
              </w:rPr>
              <w:t>1538.97</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eastAsia="zh-CN"/>
              </w:rPr>
            </w:pPr>
            <w:r>
              <w:rPr>
                <w:rFonts w:hint="eastAsia" w:cs="宋体" w:asciiTheme="minorEastAsia" w:hAnsiTheme="minorEastAsia" w:eastAsiaTheme="minorEastAsia"/>
                <w:color w:val="auto"/>
                <w:sz w:val="21"/>
                <w:szCs w:val="21"/>
                <w:lang w:eastAsia="zh-CN"/>
              </w:rPr>
              <w:t>钢混</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kern w:val="0"/>
                <w:sz w:val="21"/>
                <w:szCs w:val="21"/>
              </w:rPr>
              <w:t>1</w:t>
            </w:r>
            <w:r>
              <w:rPr>
                <w:rFonts w:hint="eastAsia" w:cs="宋体" w:asciiTheme="minorEastAsia" w:hAnsiTheme="minorEastAsia" w:eastAsiaTheme="minorEastAsia"/>
                <w:color w:val="auto"/>
                <w:kern w:val="0"/>
                <w:sz w:val="21"/>
                <w:szCs w:val="21"/>
                <w:lang w:val="en-US" w:eastAsia="zh-CN"/>
              </w:rPr>
              <w:t>-2</w:t>
            </w:r>
            <w:r>
              <w:rPr>
                <w:rFonts w:hint="eastAsia" w:cs="宋体" w:asciiTheme="minorEastAsia" w:hAnsiTheme="minorEastAsia" w:eastAsiaTheme="minorEastAsia"/>
                <w:color w:val="auto"/>
                <w:kern w:val="0"/>
                <w:sz w:val="21"/>
                <w:szCs w:val="21"/>
              </w:rPr>
              <w:t>/</w:t>
            </w:r>
            <w:r>
              <w:rPr>
                <w:rFonts w:hint="eastAsia" w:cs="宋体" w:asciiTheme="minorEastAsia" w:hAnsiTheme="minorEastAsia" w:eastAsiaTheme="minorEastAsia"/>
                <w:color w:val="auto"/>
                <w:kern w:val="0"/>
                <w:sz w:val="21"/>
                <w:szCs w:val="21"/>
                <w:lang w:val="en-US" w:eastAsia="zh-CN"/>
              </w:rPr>
              <w:t>2</w:t>
            </w:r>
            <w:r>
              <w:rPr>
                <w:rFonts w:hint="eastAsia" w:cs="宋体" w:asciiTheme="minorEastAsia" w:hAnsiTheme="minorEastAsia" w:eastAsiaTheme="minorEastAsia"/>
                <w:color w:val="auto"/>
                <w:kern w:val="0"/>
                <w:sz w:val="21"/>
                <w:szCs w:val="21"/>
              </w:rPr>
              <w:t>F</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kern w:val="0"/>
                <w:sz w:val="21"/>
                <w:szCs w:val="21"/>
              </w:rPr>
              <w:t>工业</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kern w:val="0"/>
                <w:sz w:val="21"/>
                <w:szCs w:val="21"/>
                <w:lang w:val="en-US" w:eastAsia="zh-CN"/>
              </w:rPr>
              <w:t>2008年</w:t>
            </w:r>
          </w:p>
        </w:tc>
        <w:tc>
          <w:tcPr>
            <w:tcW w:w="2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340" w:lineRule="exact"/>
              <w:jc w:val="center"/>
              <w:textAlignment w:val="center"/>
              <w:rPr>
                <w:rFonts w:hint="default" w:cs="宋体" w:asciiTheme="minorEastAsia" w:hAnsiTheme="minorEastAsia" w:eastAsiaTheme="minorEastAsia"/>
                <w:color w:val="auto"/>
                <w:kern w:val="0"/>
                <w:sz w:val="21"/>
                <w:szCs w:val="21"/>
                <w:lang w:val="en-US" w:eastAsia="zh-CN"/>
              </w:rPr>
            </w:pPr>
            <w:r>
              <w:rPr>
                <w:rFonts w:hint="eastAsia" w:cs="宋体" w:asciiTheme="minorEastAsia" w:hAnsiTheme="minorEastAsia"/>
                <w:color w:val="auto"/>
                <w:kern w:val="0"/>
                <w:sz w:val="21"/>
                <w:szCs w:val="21"/>
                <w:lang w:val="en-US" w:eastAsia="zh-CN"/>
              </w:rPr>
              <w:t>外墙涂料，内墙乳胶漆，</w:t>
            </w:r>
            <w:r>
              <w:rPr>
                <w:rFonts w:hint="eastAsia" w:cs="宋体" w:asciiTheme="minorEastAsia" w:hAnsiTheme="minorEastAsia" w:eastAsiaTheme="minorEastAsia"/>
                <w:color w:val="auto"/>
                <w:kern w:val="0"/>
                <w:sz w:val="21"/>
                <w:szCs w:val="21"/>
                <w:lang w:val="en-US" w:eastAsia="zh-CN"/>
              </w:rPr>
              <w:t>局部三层，两部步梯，楼梯间不锈钢扶手。</w:t>
            </w:r>
          </w:p>
        </w:tc>
      </w:tr>
      <w:tr>
        <w:tblPrEx>
          <w:tblCellMar>
            <w:top w:w="0" w:type="dxa"/>
            <w:left w:w="0" w:type="dxa"/>
            <w:bottom w:w="0" w:type="dxa"/>
            <w:right w:w="0" w:type="dxa"/>
          </w:tblCellMar>
        </w:tblPrEx>
        <w:trPr>
          <w:trHeight w:val="1039" w:hRule="atLeast"/>
          <w:jc w:val="center"/>
        </w:trPr>
        <w:tc>
          <w:tcPr>
            <w:tcW w:w="154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4#</w:t>
            </w: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ascii="宋体" w:hAnsi="宋体" w:eastAsia="宋体" w:cs="宋体"/>
                <w:i w:val="0"/>
                <w:iCs w:val="0"/>
                <w:color w:val="1E1C11"/>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1538.97</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eastAsiaTheme="minorEastAsia"/>
                <w:color w:val="auto"/>
                <w:sz w:val="21"/>
                <w:szCs w:val="21"/>
                <w:lang w:eastAsia="zh-CN"/>
              </w:rPr>
              <w:t>钢混</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1</w:t>
            </w:r>
            <w:r>
              <w:rPr>
                <w:rFonts w:hint="eastAsia" w:cs="宋体" w:asciiTheme="minorEastAsia" w:hAnsiTheme="minorEastAsia" w:eastAsiaTheme="minorEastAsia"/>
                <w:color w:val="auto"/>
                <w:kern w:val="0"/>
                <w:sz w:val="21"/>
                <w:szCs w:val="21"/>
                <w:lang w:val="en-US" w:eastAsia="zh-CN"/>
              </w:rPr>
              <w:t>-2</w:t>
            </w:r>
            <w:r>
              <w:rPr>
                <w:rFonts w:hint="eastAsia" w:cs="宋体" w:asciiTheme="minorEastAsia" w:hAnsiTheme="minorEastAsia" w:eastAsiaTheme="minorEastAsia"/>
                <w:color w:val="auto"/>
                <w:kern w:val="0"/>
                <w:sz w:val="21"/>
                <w:szCs w:val="21"/>
              </w:rPr>
              <w:t>/</w:t>
            </w:r>
            <w:r>
              <w:rPr>
                <w:rFonts w:hint="eastAsia" w:cs="宋体" w:asciiTheme="minorEastAsia" w:hAnsiTheme="minorEastAsia" w:eastAsiaTheme="minorEastAsia"/>
                <w:color w:val="auto"/>
                <w:kern w:val="0"/>
                <w:sz w:val="21"/>
                <w:szCs w:val="21"/>
                <w:lang w:val="en-US" w:eastAsia="zh-CN"/>
              </w:rPr>
              <w:t>2</w:t>
            </w:r>
            <w:r>
              <w:rPr>
                <w:rFonts w:hint="eastAsia" w:cs="宋体" w:asciiTheme="minorEastAsia" w:hAnsiTheme="minorEastAsia" w:eastAsiaTheme="minorEastAsia"/>
                <w:color w:val="auto"/>
                <w:kern w:val="0"/>
                <w:sz w:val="21"/>
                <w:szCs w:val="21"/>
              </w:rPr>
              <w:t>F</w:t>
            </w: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color w:val="auto"/>
                <w:kern w:val="0"/>
                <w:sz w:val="21"/>
                <w:szCs w:val="21"/>
              </w:rPr>
            </w:pPr>
            <w:r>
              <w:rPr>
                <w:rFonts w:hint="eastAsia" w:cs="宋体" w:asciiTheme="minorEastAsia" w:hAnsiTheme="minorEastAsia" w:eastAsiaTheme="minorEastAsia"/>
                <w:color w:val="auto"/>
                <w:kern w:val="0"/>
                <w:sz w:val="21"/>
                <w:szCs w:val="21"/>
              </w:rPr>
              <w:t>工业</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color w:val="auto"/>
                <w:kern w:val="0"/>
                <w:sz w:val="21"/>
                <w:szCs w:val="21"/>
                <w:lang w:val="en-US" w:eastAsia="zh-CN"/>
              </w:rPr>
            </w:pPr>
            <w:r>
              <w:rPr>
                <w:rFonts w:hint="eastAsia" w:cs="宋体" w:asciiTheme="minorEastAsia" w:hAnsiTheme="minorEastAsia" w:eastAsiaTheme="minorEastAsia"/>
                <w:color w:val="auto"/>
                <w:kern w:val="0"/>
                <w:sz w:val="21"/>
                <w:szCs w:val="21"/>
                <w:lang w:val="en-US" w:eastAsia="zh-CN"/>
              </w:rPr>
              <w:t>2008年</w:t>
            </w:r>
          </w:p>
        </w:tc>
        <w:tc>
          <w:tcPr>
            <w:tcW w:w="2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340" w:lineRule="exact"/>
              <w:jc w:val="center"/>
              <w:textAlignment w:val="center"/>
              <w:rPr>
                <w:rFonts w:hint="eastAsia" w:ascii="宋体" w:hAnsi="宋体" w:cs="宋体" w:eastAsiaTheme="minorEastAsia"/>
                <w:color w:val="auto"/>
                <w:kern w:val="0"/>
                <w:sz w:val="21"/>
                <w:szCs w:val="21"/>
                <w:lang w:eastAsia="zh-CN"/>
              </w:rPr>
            </w:pPr>
            <w:r>
              <w:rPr>
                <w:rFonts w:hint="eastAsia" w:cs="宋体" w:asciiTheme="minorEastAsia" w:hAnsiTheme="minorEastAsia"/>
                <w:color w:val="auto"/>
                <w:kern w:val="0"/>
                <w:sz w:val="21"/>
                <w:szCs w:val="21"/>
                <w:lang w:val="en-US" w:eastAsia="zh-CN"/>
              </w:rPr>
              <w:t>外墙涂料，内墙乳胶漆，</w:t>
            </w:r>
            <w:r>
              <w:rPr>
                <w:rFonts w:hint="eastAsia" w:cs="宋体" w:asciiTheme="minorEastAsia" w:hAnsiTheme="minorEastAsia" w:eastAsiaTheme="minorEastAsia"/>
                <w:color w:val="auto"/>
                <w:kern w:val="0"/>
                <w:sz w:val="21"/>
                <w:szCs w:val="21"/>
                <w:lang w:val="en-US" w:eastAsia="zh-CN"/>
              </w:rPr>
              <w:t>局部三层，两部步梯，楼梯间不锈钢扶手。</w:t>
            </w:r>
          </w:p>
        </w:tc>
      </w:tr>
      <w:tr>
        <w:tblPrEx>
          <w:tblCellMar>
            <w:top w:w="0" w:type="dxa"/>
            <w:left w:w="0" w:type="dxa"/>
            <w:bottom w:w="0" w:type="dxa"/>
            <w:right w:w="0" w:type="dxa"/>
          </w:tblCellMar>
        </w:tblPrEx>
        <w:trPr>
          <w:trHeight w:val="499" w:hRule="atLeast"/>
          <w:jc w:val="center"/>
        </w:trPr>
        <w:tc>
          <w:tcPr>
            <w:tcW w:w="1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kern w:val="0"/>
                <w:sz w:val="21"/>
                <w:szCs w:val="21"/>
              </w:rPr>
              <w:t>合计</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spacing w:line="400" w:lineRule="exact"/>
              <w:jc w:val="center"/>
              <w:rPr>
                <w:rFonts w:cs="宋体" w:asciiTheme="minorEastAsia" w:hAnsiTheme="minorEastAsia" w:eastAsiaTheme="minorEastAsia"/>
                <w:color w:val="auto"/>
                <w:sz w:val="21"/>
                <w:szCs w:val="21"/>
              </w:rPr>
            </w:pPr>
          </w:p>
        </w:tc>
        <w:tc>
          <w:tcPr>
            <w:tcW w:w="11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spacing w:line="400" w:lineRule="exact"/>
              <w:jc w:val="center"/>
              <w:rPr>
                <w:rFonts w:hint="eastAsia" w:cs="宋体" w:asciiTheme="minorEastAsia" w:hAnsiTheme="minorEastAsia" w:eastAsiaTheme="minorEastAsia"/>
                <w:color w:val="auto"/>
                <w:sz w:val="21"/>
                <w:szCs w:val="21"/>
                <w:lang w:eastAsia="zh-CN"/>
              </w:rPr>
            </w:pPr>
            <w:r>
              <w:rPr>
                <w:rFonts w:hint="eastAsia" w:cs="宋体" w:asciiTheme="minorEastAsia" w:hAnsiTheme="minorEastAsia" w:eastAsiaTheme="minorEastAsia"/>
                <w:color w:val="auto"/>
                <w:sz w:val="21"/>
                <w:szCs w:val="21"/>
                <w:lang w:val="en-US" w:eastAsia="zh-CN"/>
              </w:rPr>
              <w:t>7772.95</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spacing w:line="400" w:lineRule="exact"/>
              <w:jc w:val="center"/>
              <w:rPr>
                <w:rFonts w:cs="宋体" w:asciiTheme="minorEastAsia" w:hAnsiTheme="minorEastAsia" w:eastAsiaTheme="minorEastAsia"/>
                <w:color w:val="auto"/>
                <w:sz w:val="21"/>
                <w:szCs w:val="21"/>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spacing w:line="400" w:lineRule="exact"/>
              <w:jc w:val="center"/>
              <w:rPr>
                <w:rFonts w:cs="宋体" w:asciiTheme="minorEastAsia" w:hAnsiTheme="minorEastAsia" w:eastAsiaTheme="minorEastAsia"/>
                <w:color w:val="auto"/>
                <w:sz w:val="21"/>
                <w:szCs w:val="21"/>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spacing w:line="400" w:lineRule="exact"/>
              <w:jc w:val="center"/>
              <w:rPr>
                <w:rFonts w:cs="宋体" w:asciiTheme="minorEastAsia" w:hAnsiTheme="minorEastAsia" w:eastAsiaTheme="minorEastAsia"/>
                <w:color w:val="auto"/>
                <w:sz w:val="21"/>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spacing w:line="400" w:lineRule="exact"/>
              <w:jc w:val="center"/>
              <w:rPr>
                <w:rFonts w:cs="宋体" w:asciiTheme="minorEastAsia" w:hAnsiTheme="minorEastAsia" w:eastAsiaTheme="minorEastAsia"/>
                <w:color w:val="auto"/>
                <w:sz w:val="21"/>
                <w:szCs w:val="21"/>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spacing w:line="340" w:lineRule="exact"/>
              <w:jc w:val="center"/>
              <w:rPr>
                <w:rFonts w:cs="宋体" w:asciiTheme="minorEastAsia" w:hAnsiTheme="minorEastAsia" w:eastAsiaTheme="minorEastAsia"/>
                <w:color w:val="auto"/>
                <w:sz w:val="21"/>
                <w:szCs w:val="21"/>
              </w:rPr>
            </w:pPr>
          </w:p>
        </w:tc>
      </w:tr>
    </w:tbl>
    <w:p>
      <w:pPr>
        <w:shd w:val="clear"/>
        <w:adjustRightInd w:val="0"/>
        <w:snapToGrid w:val="0"/>
        <w:spacing w:line="500" w:lineRule="exact"/>
        <w:ind w:firstLine="480" w:firstLineChars="200"/>
        <w:rPr>
          <w:rFonts w:hint="eastAsia" w:asciiTheme="minorEastAsia" w:hAnsiTheme="minorEastAsia" w:eastAsiaTheme="minorEastAsia"/>
          <w:color w:val="auto"/>
          <w:spacing w:val="0"/>
        </w:rPr>
      </w:pPr>
    </w:p>
    <w:tbl>
      <w:tblPr>
        <w:tblStyle w:val="18"/>
        <w:tblW w:w="9620" w:type="dxa"/>
        <w:jc w:val="center"/>
        <w:tblLayout w:type="fixed"/>
        <w:tblCellMar>
          <w:top w:w="0" w:type="dxa"/>
          <w:left w:w="0" w:type="dxa"/>
          <w:bottom w:w="0" w:type="dxa"/>
          <w:right w:w="0" w:type="dxa"/>
        </w:tblCellMar>
      </w:tblPr>
      <w:tblGrid>
        <w:gridCol w:w="1537"/>
        <w:gridCol w:w="1103"/>
        <w:gridCol w:w="1127"/>
        <w:gridCol w:w="967"/>
        <w:gridCol w:w="912"/>
        <w:gridCol w:w="1627"/>
        <w:gridCol w:w="2347"/>
      </w:tblGrid>
      <w:tr>
        <w:tblPrEx>
          <w:tblCellMar>
            <w:top w:w="0" w:type="dxa"/>
            <w:left w:w="0" w:type="dxa"/>
            <w:bottom w:w="0" w:type="dxa"/>
            <w:right w:w="0" w:type="dxa"/>
          </w:tblCellMar>
        </w:tblPrEx>
        <w:trPr>
          <w:trHeight w:val="566" w:hRule="atLeast"/>
          <w:jc w:val="center"/>
        </w:trPr>
        <w:tc>
          <w:tcPr>
            <w:tcW w:w="9620" w:type="dxa"/>
            <w:gridSpan w:val="7"/>
            <w:tcBorders>
              <w:top w:val="nil"/>
              <w:left w:val="nil"/>
              <w:bottom w:val="single" w:color="auto" w:sz="4" w:space="0"/>
              <w:right w:val="nil"/>
            </w:tcBorders>
            <w:shd w:val="clear" w:color="auto" w:fill="auto"/>
            <w:noWrap/>
            <w:tcMar>
              <w:top w:w="15" w:type="dxa"/>
              <w:left w:w="15" w:type="dxa"/>
              <w:right w:w="15" w:type="dxa"/>
            </w:tcMar>
            <w:vAlign w:val="center"/>
          </w:tcPr>
          <w:p>
            <w:pPr>
              <w:widowControl/>
              <w:shd w:val="clear"/>
              <w:spacing w:line="340" w:lineRule="exact"/>
              <w:jc w:val="center"/>
              <w:textAlignment w:val="center"/>
              <w:rPr>
                <w:rFonts w:hint="eastAsia" w:ascii="宋体" w:hAnsi="宋体" w:cs="宋体" w:eastAsiaTheme="minorEastAsia"/>
                <w:b/>
                <w:bCs/>
                <w:color w:val="auto"/>
                <w:kern w:val="0"/>
                <w:sz w:val="21"/>
                <w:szCs w:val="21"/>
                <w:lang w:eastAsia="zh-CN"/>
              </w:rPr>
            </w:pPr>
            <w:r>
              <w:rPr>
                <w:rFonts w:hint="eastAsia" w:ascii="宋体" w:hAnsi="宋体" w:cs="宋体" w:eastAsiaTheme="minorEastAsia"/>
                <w:b/>
                <w:bCs/>
                <w:color w:val="auto"/>
                <w:kern w:val="0"/>
                <w:sz w:val="21"/>
                <w:szCs w:val="21"/>
                <w:lang w:eastAsia="zh-CN"/>
              </w:rPr>
              <w:t>估价对象未办理产权登记建筑物实物情况一览表</w:t>
            </w:r>
          </w:p>
        </w:tc>
      </w:tr>
      <w:tr>
        <w:tblPrEx>
          <w:tblCellMar>
            <w:top w:w="0" w:type="dxa"/>
            <w:left w:w="0" w:type="dxa"/>
            <w:bottom w:w="0" w:type="dxa"/>
            <w:right w:w="0" w:type="dxa"/>
          </w:tblCellMar>
        </w:tblPrEx>
        <w:trPr>
          <w:trHeight w:val="577" w:hRule="atLeast"/>
          <w:jc w:val="center"/>
        </w:trPr>
        <w:tc>
          <w:tcPr>
            <w:tcW w:w="153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b/>
                <w:bCs/>
                <w:color w:val="auto"/>
                <w:sz w:val="21"/>
                <w:szCs w:val="21"/>
                <w:lang w:eastAsia="zh-CN"/>
              </w:rPr>
            </w:pPr>
            <w:r>
              <w:rPr>
                <w:rFonts w:hint="eastAsia" w:cs="宋体" w:asciiTheme="minorEastAsia" w:hAnsiTheme="minorEastAsia" w:eastAsiaTheme="minorEastAsia"/>
                <w:b/>
                <w:bCs/>
                <w:color w:val="auto"/>
                <w:kern w:val="0"/>
                <w:sz w:val="21"/>
                <w:szCs w:val="21"/>
                <w:lang w:eastAsia="zh-CN"/>
              </w:rPr>
              <w:t>资产占有人</w:t>
            </w:r>
          </w:p>
        </w:tc>
        <w:tc>
          <w:tcPr>
            <w:tcW w:w="1103"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名称</w:t>
            </w:r>
          </w:p>
        </w:tc>
        <w:tc>
          <w:tcPr>
            <w:tcW w:w="112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面积（m</w:t>
            </w:r>
            <w:r>
              <w:rPr>
                <w:rStyle w:val="50"/>
                <w:rFonts w:hint="default" w:asciiTheme="minorEastAsia" w:hAnsiTheme="minorEastAsia" w:eastAsiaTheme="minorEastAsia"/>
                <w:b/>
                <w:bCs/>
                <w:color w:val="auto"/>
                <w:sz w:val="21"/>
                <w:szCs w:val="21"/>
              </w:rPr>
              <w:t>2</w:t>
            </w:r>
            <w:r>
              <w:rPr>
                <w:rStyle w:val="51"/>
                <w:rFonts w:hint="default" w:asciiTheme="minorEastAsia" w:hAnsiTheme="minorEastAsia" w:eastAsiaTheme="minorEastAsia"/>
                <w:b/>
                <w:bCs/>
                <w:color w:val="auto"/>
                <w:sz w:val="21"/>
                <w:szCs w:val="21"/>
              </w:rPr>
              <w:t>）</w:t>
            </w:r>
          </w:p>
        </w:tc>
        <w:tc>
          <w:tcPr>
            <w:tcW w:w="96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结构</w:t>
            </w:r>
          </w:p>
        </w:tc>
        <w:tc>
          <w:tcPr>
            <w:tcW w:w="912"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层数</w:t>
            </w:r>
          </w:p>
        </w:tc>
        <w:tc>
          <w:tcPr>
            <w:tcW w:w="162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建成年代</w:t>
            </w:r>
          </w:p>
        </w:tc>
        <w:tc>
          <w:tcPr>
            <w:tcW w:w="234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hd w:val="clear"/>
              <w:spacing w:line="340" w:lineRule="exact"/>
              <w:jc w:val="center"/>
              <w:textAlignment w:val="center"/>
              <w:rPr>
                <w:rFonts w:hint="eastAsia" w:cs="宋体" w:asciiTheme="minorEastAsia" w:hAnsiTheme="minorEastAsia" w:eastAsiaTheme="minorEastAsia"/>
                <w:b/>
                <w:bCs/>
                <w:color w:val="auto"/>
                <w:kern w:val="0"/>
                <w:sz w:val="21"/>
                <w:szCs w:val="21"/>
                <w:lang w:eastAsia="zh-CN"/>
              </w:rPr>
            </w:pPr>
            <w:r>
              <w:rPr>
                <w:rFonts w:hint="eastAsia" w:ascii="宋体" w:hAnsi="宋体" w:cs="宋体" w:eastAsiaTheme="minorEastAsia"/>
                <w:b/>
                <w:bCs/>
                <w:color w:val="auto"/>
                <w:kern w:val="0"/>
                <w:sz w:val="21"/>
                <w:szCs w:val="21"/>
                <w:lang w:eastAsia="zh-CN"/>
              </w:rPr>
              <w:t>实物状况</w:t>
            </w:r>
          </w:p>
        </w:tc>
      </w:tr>
      <w:tr>
        <w:tblPrEx>
          <w:tblCellMar>
            <w:top w:w="0" w:type="dxa"/>
            <w:left w:w="0" w:type="dxa"/>
            <w:bottom w:w="0" w:type="dxa"/>
            <w:right w:w="0" w:type="dxa"/>
          </w:tblCellMar>
        </w:tblPrEx>
        <w:trPr>
          <w:trHeight w:val="1651" w:hRule="atLeast"/>
          <w:jc w:val="center"/>
        </w:trPr>
        <w:tc>
          <w:tcPr>
            <w:tcW w:w="1537"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eastAsia="zh-CN"/>
              </w:rPr>
            </w:pPr>
            <w:r>
              <w:rPr>
                <w:rFonts w:hint="eastAsia" w:cs="宋体" w:asciiTheme="minorEastAsia" w:hAnsiTheme="minorEastAsia" w:eastAsiaTheme="minorEastAsia"/>
                <w:color w:val="auto"/>
                <w:kern w:val="0"/>
                <w:sz w:val="21"/>
                <w:szCs w:val="21"/>
                <w:lang w:eastAsia="zh-CN"/>
              </w:rPr>
              <w:t>六安颇美特建设机械有限公司</w:t>
            </w:r>
          </w:p>
        </w:tc>
        <w:tc>
          <w:tcPr>
            <w:tcW w:w="1103"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eastAsia="zh-CN"/>
              </w:rPr>
            </w:pPr>
            <w:r>
              <w:rPr>
                <w:rFonts w:hint="eastAsia" w:cs="宋体" w:asciiTheme="minorEastAsia" w:hAnsiTheme="minorEastAsia" w:eastAsiaTheme="minorEastAsia"/>
                <w:color w:val="auto"/>
                <w:sz w:val="21"/>
                <w:szCs w:val="21"/>
                <w:lang w:eastAsia="zh-CN"/>
              </w:rPr>
              <w:t>钢结构厂房</w:t>
            </w:r>
          </w:p>
        </w:tc>
        <w:tc>
          <w:tcPr>
            <w:tcW w:w="112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rPr>
            </w:pPr>
            <w:r>
              <w:rPr>
                <w:rFonts w:hint="eastAsia" w:cs="宋体" w:asciiTheme="minorEastAsia" w:hAnsiTheme="minorEastAsia" w:eastAsiaTheme="minorEastAsia"/>
                <w:color w:val="auto"/>
                <w:sz w:val="21"/>
                <w:szCs w:val="21"/>
                <w:lang w:val="en-US" w:eastAsia="zh-CN"/>
              </w:rPr>
              <w:t>960</w:t>
            </w:r>
          </w:p>
        </w:tc>
        <w:tc>
          <w:tcPr>
            <w:tcW w:w="96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eastAsia="zh-CN"/>
              </w:rPr>
            </w:pPr>
            <w:r>
              <w:rPr>
                <w:rFonts w:hint="eastAsia" w:cs="宋体" w:asciiTheme="minorEastAsia" w:hAnsiTheme="minorEastAsia" w:eastAsiaTheme="minorEastAsia"/>
                <w:color w:val="auto"/>
                <w:sz w:val="21"/>
                <w:szCs w:val="21"/>
                <w:lang w:eastAsia="zh-CN"/>
              </w:rPr>
              <w:t>钢</w:t>
            </w:r>
          </w:p>
        </w:tc>
        <w:tc>
          <w:tcPr>
            <w:tcW w:w="912"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kern w:val="0"/>
                <w:sz w:val="21"/>
                <w:szCs w:val="21"/>
              </w:rPr>
              <w:t>1/</w:t>
            </w:r>
            <w:r>
              <w:rPr>
                <w:rFonts w:hint="eastAsia" w:cs="宋体" w:asciiTheme="minorEastAsia" w:hAnsiTheme="minorEastAsia" w:eastAsiaTheme="minorEastAsia"/>
                <w:color w:val="auto"/>
                <w:kern w:val="0"/>
                <w:sz w:val="21"/>
                <w:szCs w:val="21"/>
                <w:lang w:val="en-US" w:eastAsia="zh-CN"/>
              </w:rPr>
              <w:t>1</w:t>
            </w:r>
            <w:r>
              <w:rPr>
                <w:rFonts w:hint="eastAsia" w:cs="宋体" w:asciiTheme="minorEastAsia" w:hAnsiTheme="minorEastAsia" w:eastAsiaTheme="minorEastAsia"/>
                <w:color w:val="auto"/>
                <w:kern w:val="0"/>
                <w:sz w:val="21"/>
                <w:szCs w:val="21"/>
              </w:rPr>
              <w:t>F</w:t>
            </w:r>
          </w:p>
        </w:tc>
        <w:tc>
          <w:tcPr>
            <w:tcW w:w="162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kern w:val="0"/>
                <w:sz w:val="21"/>
                <w:szCs w:val="21"/>
                <w:lang w:val="en-US" w:eastAsia="zh-CN"/>
              </w:rPr>
              <w:t>2008年</w:t>
            </w:r>
          </w:p>
        </w:tc>
        <w:tc>
          <w:tcPr>
            <w:tcW w:w="2347"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widowControl/>
              <w:shd w:val="clear"/>
              <w:spacing w:line="340" w:lineRule="exact"/>
              <w:jc w:val="center"/>
              <w:textAlignment w:val="center"/>
              <w:rPr>
                <w:rFonts w:hint="default" w:eastAsia="宋体" w:cs="宋体" w:asciiTheme="minorEastAsia" w:hAnsiTheme="minorEastAsia"/>
                <w:color w:val="auto"/>
                <w:kern w:val="0"/>
                <w:sz w:val="21"/>
                <w:szCs w:val="21"/>
                <w:lang w:val="en-US" w:eastAsia="zh-CN"/>
              </w:rPr>
            </w:pPr>
            <w:r>
              <w:rPr>
                <w:rFonts w:hint="eastAsia" w:cs="宋体" w:asciiTheme="minorEastAsia" w:hAnsiTheme="minorEastAsia"/>
                <w:color w:val="auto"/>
                <w:kern w:val="0"/>
                <w:sz w:val="21"/>
                <w:szCs w:val="21"/>
                <w:lang w:val="en-US" w:eastAsia="zh-CN"/>
              </w:rPr>
              <w:t>檐高5.8m，顶高6.5m，砖基础墙体1.2m，室内水泥地坪。</w:t>
            </w:r>
          </w:p>
        </w:tc>
      </w:tr>
    </w:tbl>
    <w:p>
      <w:pPr>
        <w:shd w:val="clear"/>
        <w:adjustRightInd w:val="0"/>
        <w:snapToGrid w:val="0"/>
        <w:spacing w:line="500" w:lineRule="exact"/>
        <w:rPr>
          <w:rFonts w:hint="eastAsia" w:asciiTheme="minorEastAsia" w:hAnsiTheme="minorEastAsia" w:eastAsiaTheme="minorEastAsia"/>
          <w:color w:val="auto"/>
          <w:spacing w:val="0"/>
        </w:rPr>
      </w:pPr>
    </w:p>
    <w:p>
      <w:pPr>
        <w:shd w:val="clear"/>
        <w:adjustRightInd w:val="0"/>
        <w:snapToGrid w:val="0"/>
        <w:spacing w:line="500" w:lineRule="exact"/>
        <w:ind w:firstLine="480" w:firstLineChars="200"/>
        <w:rPr>
          <w:rFonts w:hint="eastAsia" w:asciiTheme="minorEastAsia" w:hAnsiTheme="minorEastAsia" w:eastAsiaTheme="minorEastAsia"/>
          <w:color w:val="auto"/>
          <w:spacing w:val="0"/>
          <w:szCs w:val="22"/>
        </w:rPr>
      </w:pPr>
      <w:r>
        <w:rPr>
          <w:rFonts w:hint="eastAsia" w:asciiTheme="minorEastAsia" w:hAnsiTheme="minorEastAsia" w:eastAsiaTheme="minorEastAsia"/>
          <w:color w:val="auto"/>
          <w:spacing w:val="0"/>
        </w:rPr>
        <w:t>3、附属物等实物状况</w:t>
      </w:r>
    </w:p>
    <w:tbl>
      <w:tblPr>
        <w:tblStyle w:val="18"/>
        <w:tblW w:w="9660" w:type="dxa"/>
        <w:tblInd w:w="-386" w:type="dxa"/>
        <w:tblLayout w:type="fixed"/>
        <w:tblCellMar>
          <w:top w:w="0" w:type="dxa"/>
          <w:left w:w="108" w:type="dxa"/>
          <w:bottom w:w="0" w:type="dxa"/>
          <w:right w:w="108" w:type="dxa"/>
        </w:tblCellMar>
      </w:tblPr>
      <w:tblGrid>
        <w:gridCol w:w="1210"/>
        <w:gridCol w:w="2037"/>
        <w:gridCol w:w="1707"/>
        <w:gridCol w:w="1193"/>
        <w:gridCol w:w="945"/>
        <w:gridCol w:w="2568"/>
      </w:tblGrid>
      <w:tr>
        <w:tblPrEx>
          <w:tblCellMar>
            <w:top w:w="0" w:type="dxa"/>
            <w:left w:w="108" w:type="dxa"/>
            <w:bottom w:w="0" w:type="dxa"/>
            <w:right w:w="108" w:type="dxa"/>
          </w:tblCellMar>
        </w:tblPrEx>
        <w:trPr>
          <w:trHeight w:val="541" w:hRule="atLeast"/>
        </w:trPr>
        <w:tc>
          <w:tcPr>
            <w:tcW w:w="9660" w:type="dxa"/>
            <w:gridSpan w:val="6"/>
            <w:tcBorders>
              <w:top w:val="nil"/>
              <w:left w:val="nil"/>
              <w:bottom w:val="single" w:color="auto" w:sz="4" w:space="0"/>
              <w:right w:val="nil"/>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bidi="ar"/>
              </w:rPr>
            </w:pPr>
            <w:r>
              <w:rPr>
                <w:rFonts w:hint="eastAsia" w:ascii="宋体" w:hAnsi="宋体" w:cs="宋体" w:eastAsiaTheme="minorEastAsia"/>
                <w:b/>
                <w:bCs/>
                <w:color w:val="auto"/>
                <w:kern w:val="0"/>
                <w:sz w:val="21"/>
                <w:szCs w:val="21"/>
                <w:lang w:eastAsia="zh-CN"/>
              </w:rPr>
              <w:t>估价对象附属物实物情况一览表</w:t>
            </w:r>
          </w:p>
        </w:tc>
      </w:tr>
      <w:tr>
        <w:tblPrEx>
          <w:tblCellMar>
            <w:top w:w="0" w:type="dxa"/>
            <w:left w:w="108" w:type="dxa"/>
            <w:bottom w:w="0" w:type="dxa"/>
            <w:right w:w="108" w:type="dxa"/>
          </w:tblCellMar>
        </w:tblPrEx>
        <w:trPr>
          <w:trHeight w:val="580" w:hRule="atLeast"/>
        </w:trPr>
        <w:tc>
          <w:tcPr>
            <w:tcW w:w="121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序号</w:t>
            </w:r>
          </w:p>
        </w:tc>
        <w:tc>
          <w:tcPr>
            <w:tcW w:w="203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名称</w:t>
            </w:r>
          </w:p>
        </w:tc>
        <w:tc>
          <w:tcPr>
            <w:tcW w:w="170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数量</w:t>
            </w:r>
          </w:p>
        </w:tc>
        <w:tc>
          <w:tcPr>
            <w:tcW w:w="119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单位</w:t>
            </w:r>
          </w:p>
        </w:tc>
        <w:tc>
          <w:tcPr>
            <w:tcW w:w="94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结构</w:t>
            </w:r>
          </w:p>
        </w:tc>
        <w:tc>
          <w:tcPr>
            <w:tcW w:w="256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备注</w:t>
            </w:r>
          </w:p>
        </w:tc>
      </w:tr>
      <w:tr>
        <w:tblPrEx>
          <w:tblCellMar>
            <w:top w:w="0" w:type="dxa"/>
            <w:left w:w="108" w:type="dxa"/>
            <w:bottom w:w="0" w:type="dxa"/>
            <w:right w:w="108" w:type="dxa"/>
          </w:tblCellMar>
        </w:tblPrEx>
        <w:trPr>
          <w:trHeight w:val="511" w:hRule="atLeast"/>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ascii="宋体" w:hAnsi="宋体" w:cs="宋体"/>
                <w:color w:val="auto"/>
                <w:sz w:val="21"/>
                <w:szCs w:val="21"/>
              </w:rPr>
            </w:pPr>
            <w:r>
              <w:rPr>
                <w:rFonts w:hint="eastAsia" w:cs="宋体" w:asciiTheme="minorEastAsia" w:hAnsiTheme="minorEastAsia" w:eastAsiaTheme="minorEastAsia"/>
                <w:color w:val="auto"/>
                <w:sz w:val="21"/>
                <w:szCs w:val="21"/>
                <w:lang w:val="en-US" w:eastAsia="zh-CN"/>
              </w:rPr>
              <w:t>1</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ascii="宋体" w:hAnsi="宋体" w:cs="宋体"/>
                <w:color w:val="auto"/>
                <w:sz w:val="21"/>
                <w:szCs w:val="21"/>
              </w:rPr>
            </w:pPr>
            <w:r>
              <w:rPr>
                <w:rFonts w:hint="eastAsia" w:cs="宋体" w:asciiTheme="minorEastAsia" w:hAnsiTheme="minorEastAsia" w:eastAsiaTheme="minorEastAsia"/>
                <w:color w:val="auto"/>
                <w:sz w:val="21"/>
                <w:szCs w:val="21"/>
                <w:lang w:val="en-US" w:eastAsia="zh-CN"/>
              </w:rPr>
              <w:t>北门门卫左侧房屋</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ascii="宋体" w:hAnsi="宋体" w:cs="宋体"/>
                <w:color w:val="auto"/>
                <w:sz w:val="21"/>
                <w:szCs w:val="21"/>
              </w:rPr>
            </w:pPr>
            <w:r>
              <w:rPr>
                <w:rFonts w:hint="eastAsia" w:cs="宋体" w:asciiTheme="minorEastAsia" w:hAnsiTheme="minorEastAsia" w:eastAsiaTheme="minorEastAsia"/>
                <w:color w:val="auto"/>
                <w:sz w:val="21"/>
                <w:szCs w:val="21"/>
                <w:lang w:val="en-US" w:eastAsia="zh-CN"/>
              </w:rPr>
              <w:t>21.2</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ascii="宋体" w:hAnsi="宋体" w:cs="宋体"/>
                <w:color w:val="auto"/>
                <w:sz w:val="21"/>
                <w:szCs w:val="21"/>
              </w:rPr>
            </w:pPr>
            <w:r>
              <w:rPr>
                <w:rFonts w:hint="eastAsia" w:cs="宋体" w:asciiTheme="minorEastAsia" w:hAnsiTheme="minorEastAsia" w:eastAsiaTheme="minorEastAsia"/>
                <w:color w:val="auto"/>
                <w:sz w:val="21"/>
                <w:szCs w:val="21"/>
                <w:lang w:val="en-US" w:eastAsia="zh-CN"/>
              </w:rPr>
              <w:t>平方米</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color w:val="auto"/>
                <w:sz w:val="21"/>
                <w:szCs w:val="21"/>
                <w:lang w:eastAsia="zh-CN"/>
              </w:rPr>
            </w:pPr>
            <w:r>
              <w:rPr>
                <w:rFonts w:hint="eastAsia" w:cs="宋体" w:asciiTheme="minorEastAsia" w:hAnsiTheme="minorEastAsia" w:eastAsiaTheme="minorEastAsia"/>
                <w:color w:val="auto"/>
                <w:sz w:val="21"/>
                <w:szCs w:val="21"/>
                <w:lang w:val="en-US" w:eastAsia="zh-CN"/>
              </w:rPr>
              <w:t>砖混</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ascii="宋体" w:hAnsi="宋体" w:cs="宋体"/>
                <w:color w:val="auto"/>
                <w:sz w:val="21"/>
                <w:szCs w:val="21"/>
              </w:rPr>
            </w:pPr>
            <w:r>
              <w:rPr>
                <w:rFonts w:hint="eastAsia" w:cs="宋体" w:asciiTheme="minorEastAsia" w:hAnsiTheme="minorEastAsia" w:eastAsiaTheme="minorEastAsia"/>
                <w:color w:val="auto"/>
                <w:sz w:val="21"/>
                <w:szCs w:val="21"/>
                <w:lang w:val="en-US" w:eastAsia="zh-CN"/>
              </w:rPr>
              <w:t>层高2.8</w:t>
            </w:r>
          </w:p>
        </w:tc>
      </w:tr>
      <w:tr>
        <w:tblPrEx>
          <w:tblCellMar>
            <w:top w:w="0" w:type="dxa"/>
            <w:left w:w="108" w:type="dxa"/>
            <w:bottom w:w="0" w:type="dxa"/>
            <w:right w:w="108" w:type="dxa"/>
          </w:tblCellMar>
        </w:tblPrEx>
        <w:trPr>
          <w:trHeight w:val="511" w:hRule="atLeast"/>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ascii="宋体" w:hAnsi="宋体" w:cs="宋体"/>
                <w:color w:val="auto"/>
                <w:sz w:val="21"/>
                <w:szCs w:val="21"/>
              </w:rPr>
            </w:pPr>
            <w:r>
              <w:rPr>
                <w:rFonts w:hint="eastAsia" w:cs="宋体" w:asciiTheme="minorEastAsia" w:hAnsiTheme="minorEastAsia" w:eastAsiaTheme="minorEastAsia"/>
                <w:color w:val="auto"/>
                <w:sz w:val="21"/>
                <w:szCs w:val="21"/>
                <w:lang w:val="en-US" w:eastAsia="zh-CN"/>
              </w:rPr>
              <w:t>2</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ascii="宋体" w:hAnsi="宋体" w:cs="宋体"/>
                <w:color w:val="auto"/>
                <w:sz w:val="21"/>
                <w:szCs w:val="21"/>
              </w:rPr>
            </w:pPr>
            <w:r>
              <w:rPr>
                <w:rFonts w:hint="eastAsia" w:cs="宋体" w:asciiTheme="minorEastAsia" w:hAnsiTheme="minorEastAsia" w:eastAsiaTheme="minorEastAsia"/>
                <w:color w:val="auto"/>
                <w:sz w:val="21"/>
                <w:szCs w:val="21"/>
                <w:lang w:val="en-US" w:eastAsia="zh-CN"/>
              </w:rPr>
              <w:t>南侧配电房</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ascii="宋体" w:hAnsi="宋体" w:cs="宋体"/>
                <w:color w:val="auto"/>
                <w:sz w:val="21"/>
                <w:szCs w:val="21"/>
              </w:rPr>
            </w:pPr>
            <w:r>
              <w:rPr>
                <w:rFonts w:hint="eastAsia" w:cs="宋体" w:asciiTheme="minorEastAsia" w:hAnsiTheme="minorEastAsia" w:eastAsiaTheme="minorEastAsia"/>
                <w:color w:val="auto"/>
                <w:sz w:val="21"/>
                <w:szCs w:val="21"/>
                <w:lang w:val="en-US" w:eastAsia="zh-CN"/>
              </w:rPr>
              <w:t>20.2</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ascii="宋体" w:hAnsi="宋体" w:cs="宋体"/>
                <w:color w:val="auto"/>
                <w:sz w:val="21"/>
                <w:szCs w:val="21"/>
              </w:rPr>
            </w:pPr>
            <w:r>
              <w:rPr>
                <w:rFonts w:hint="eastAsia" w:cs="宋体" w:asciiTheme="minorEastAsia" w:hAnsiTheme="minorEastAsia" w:eastAsiaTheme="minorEastAsia"/>
                <w:color w:val="auto"/>
                <w:sz w:val="21"/>
                <w:szCs w:val="21"/>
                <w:lang w:val="en-US" w:eastAsia="zh-CN"/>
              </w:rPr>
              <w:t>平方米</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color w:val="auto"/>
                <w:sz w:val="21"/>
                <w:szCs w:val="21"/>
                <w:lang w:val="en-US" w:eastAsia="zh-CN"/>
              </w:rPr>
            </w:pPr>
            <w:r>
              <w:rPr>
                <w:rFonts w:hint="eastAsia" w:cs="宋体" w:asciiTheme="minorEastAsia" w:hAnsiTheme="minorEastAsia" w:eastAsiaTheme="minorEastAsia"/>
                <w:color w:val="auto"/>
                <w:sz w:val="21"/>
                <w:szCs w:val="21"/>
                <w:lang w:val="en-US" w:eastAsia="zh-CN"/>
              </w:rPr>
              <w:t>砖混</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ascii="宋体" w:hAnsi="宋体" w:cs="宋体"/>
                <w:color w:val="auto"/>
                <w:sz w:val="21"/>
                <w:szCs w:val="21"/>
              </w:rPr>
            </w:pPr>
            <w:r>
              <w:rPr>
                <w:rFonts w:hint="eastAsia" w:cs="宋体" w:asciiTheme="minorEastAsia" w:hAnsiTheme="minorEastAsia" w:eastAsiaTheme="minorEastAsia"/>
                <w:color w:val="auto"/>
                <w:sz w:val="21"/>
                <w:szCs w:val="21"/>
                <w:lang w:val="en-US" w:eastAsia="zh-CN"/>
              </w:rPr>
              <w:t>层高2.9m</w:t>
            </w:r>
          </w:p>
        </w:tc>
      </w:tr>
      <w:tr>
        <w:tblPrEx>
          <w:tblCellMar>
            <w:top w:w="0" w:type="dxa"/>
            <w:left w:w="108" w:type="dxa"/>
            <w:bottom w:w="0" w:type="dxa"/>
            <w:right w:w="108" w:type="dxa"/>
          </w:tblCellMar>
        </w:tblPrEx>
        <w:trPr>
          <w:trHeight w:val="511" w:hRule="atLeast"/>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3</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color w:val="auto"/>
                <w:sz w:val="21"/>
                <w:szCs w:val="21"/>
                <w:lang w:eastAsia="zh-CN"/>
              </w:rPr>
            </w:pPr>
            <w:r>
              <w:rPr>
                <w:rFonts w:hint="eastAsia" w:cs="宋体" w:asciiTheme="minorEastAsia" w:hAnsiTheme="minorEastAsia" w:eastAsiaTheme="minorEastAsia"/>
                <w:color w:val="auto"/>
                <w:sz w:val="21"/>
                <w:szCs w:val="21"/>
                <w:lang w:val="en-US" w:eastAsia="zh-CN"/>
              </w:rPr>
              <w:t>东南角厕所</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ascii="宋体" w:hAnsi="宋体" w:eastAsia="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33</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color w:val="auto"/>
                <w:kern w:val="0"/>
                <w:sz w:val="21"/>
                <w:szCs w:val="21"/>
                <w:lang w:eastAsia="zh-CN" w:bidi="ar"/>
              </w:rPr>
            </w:pPr>
            <w:r>
              <w:rPr>
                <w:rFonts w:hint="eastAsia" w:cs="宋体" w:asciiTheme="minorEastAsia" w:hAnsiTheme="minorEastAsia" w:eastAsiaTheme="minorEastAsia"/>
                <w:color w:val="auto"/>
                <w:sz w:val="21"/>
                <w:szCs w:val="21"/>
                <w:lang w:val="en-US" w:eastAsia="zh-CN"/>
              </w:rPr>
              <w:t>平方米</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color w:val="auto"/>
                <w:sz w:val="21"/>
                <w:szCs w:val="21"/>
                <w:lang w:eastAsia="zh-CN"/>
              </w:rPr>
            </w:pPr>
            <w:r>
              <w:rPr>
                <w:rFonts w:hint="eastAsia" w:cs="宋体" w:asciiTheme="minorEastAsia" w:hAnsiTheme="minorEastAsia" w:eastAsiaTheme="minorEastAsia"/>
                <w:color w:val="auto"/>
                <w:sz w:val="21"/>
                <w:szCs w:val="21"/>
                <w:lang w:val="en-US" w:eastAsia="zh-CN"/>
              </w:rPr>
              <w:t>砖混</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ascii="宋体" w:hAnsi="宋体" w:cs="宋体"/>
                <w:color w:val="auto"/>
                <w:sz w:val="21"/>
                <w:szCs w:val="21"/>
                <w:lang w:val="en-US" w:eastAsia="zh-CN"/>
              </w:rPr>
            </w:pPr>
            <w:r>
              <w:rPr>
                <w:rFonts w:hint="eastAsia" w:cs="宋体" w:asciiTheme="minorEastAsia" w:hAnsiTheme="minorEastAsia" w:eastAsiaTheme="minorEastAsia"/>
                <w:color w:val="auto"/>
                <w:sz w:val="21"/>
                <w:szCs w:val="21"/>
                <w:lang w:val="en-US" w:eastAsia="zh-CN"/>
              </w:rPr>
              <w:t>层高2.6m，地面铺地砖，墙面铺墙砖</w:t>
            </w:r>
          </w:p>
        </w:tc>
      </w:tr>
      <w:tr>
        <w:tblPrEx>
          <w:tblCellMar>
            <w:top w:w="0" w:type="dxa"/>
            <w:left w:w="108" w:type="dxa"/>
            <w:bottom w:w="0" w:type="dxa"/>
            <w:right w:w="108" w:type="dxa"/>
          </w:tblCellMar>
        </w:tblPrEx>
        <w:trPr>
          <w:trHeight w:val="511" w:hRule="atLeast"/>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4</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color w:val="auto"/>
                <w:sz w:val="21"/>
                <w:szCs w:val="21"/>
                <w:lang w:eastAsia="zh-CN"/>
              </w:rPr>
            </w:pPr>
            <w:r>
              <w:rPr>
                <w:rFonts w:hint="eastAsia" w:cs="宋体" w:asciiTheme="minorEastAsia" w:hAnsiTheme="minorEastAsia" w:eastAsiaTheme="minorEastAsia"/>
                <w:color w:val="auto"/>
                <w:sz w:val="21"/>
                <w:szCs w:val="21"/>
                <w:lang w:val="en-US" w:eastAsia="zh-CN"/>
              </w:rPr>
              <w:t>东南角厕所边混合房</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ascii="宋体" w:hAnsi="宋体" w:eastAsia="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21</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color w:val="auto"/>
                <w:kern w:val="0"/>
                <w:sz w:val="21"/>
                <w:szCs w:val="21"/>
                <w:lang w:eastAsia="zh-CN" w:bidi="ar"/>
              </w:rPr>
            </w:pPr>
            <w:r>
              <w:rPr>
                <w:rFonts w:hint="eastAsia" w:cs="宋体" w:asciiTheme="minorEastAsia" w:hAnsiTheme="minorEastAsia" w:eastAsiaTheme="minorEastAsia"/>
                <w:color w:val="auto"/>
                <w:sz w:val="21"/>
                <w:szCs w:val="21"/>
                <w:lang w:val="en-US" w:eastAsia="zh-CN"/>
              </w:rPr>
              <w:t>平方米</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color w:val="auto"/>
                <w:sz w:val="21"/>
                <w:szCs w:val="21"/>
                <w:lang w:eastAsia="zh-CN"/>
              </w:rPr>
            </w:pPr>
            <w:r>
              <w:rPr>
                <w:rFonts w:hint="eastAsia" w:cs="宋体" w:asciiTheme="minorEastAsia" w:hAnsiTheme="minorEastAsia" w:eastAsiaTheme="minorEastAsia"/>
                <w:color w:val="auto"/>
                <w:sz w:val="21"/>
                <w:szCs w:val="21"/>
                <w:lang w:val="en-US" w:eastAsia="zh-CN"/>
              </w:rPr>
              <w:t>砖混</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ascii="宋体" w:hAnsi="宋体" w:cs="宋体"/>
                <w:color w:val="auto"/>
                <w:sz w:val="21"/>
                <w:szCs w:val="21"/>
                <w:lang w:val="en-US" w:eastAsia="zh-CN"/>
              </w:rPr>
            </w:pPr>
            <w:r>
              <w:rPr>
                <w:rFonts w:hint="eastAsia" w:cs="宋体" w:asciiTheme="minorEastAsia" w:hAnsiTheme="minorEastAsia" w:eastAsiaTheme="minorEastAsia"/>
                <w:color w:val="auto"/>
                <w:sz w:val="21"/>
                <w:szCs w:val="21"/>
                <w:lang w:val="en-US" w:eastAsia="zh-CN"/>
              </w:rPr>
              <w:t>层高2.3，现状差</w:t>
            </w:r>
          </w:p>
        </w:tc>
      </w:tr>
      <w:tr>
        <w:tblPrEx>
          <w:tblCellMar>
            <w:top w:w="0" w:type="dxa"/>
            <w:left w:w="108" w:type="dxa"/>
            <w:bottom w:w="0" w:type="dxa"/>
            <w:right w:w="108" w:type="dxa"/>
          </w:tblCellMar>
        </w:tblPrEx>
        <w:trPr>
          <w:trHeight w:val="551" w:hRule="atLeast"/>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5</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color w:val="auto"/>
                <w:sz w:val="21"/>
                <w:szCs w:val="21"/>
                <w:lang w:eastAsia="zh-CN"/>
              </w:rPr>
            </w:pPr>
            <w:r>
              <w:rPr>
                <w:rFonts w:hint="eastAsia" w:cs="宋体" w:asciiTheme="minorEastAsia" w:hAnsiTheme="minorEastAsia" w:eastAsiaTheme="minorEastAsia"/>
                <w:color w:val="auto"/>
                <w:sz w:val="21"/>
                <w:szCs w:val="21"/>
                <w:lang w:val="en-US" w:eastAsia="zh-CN"/>
              </w:rPr>
              <w:t>变压器房</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12.3</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color w:val="auto"/>
                <w:kern w:val="0"/>
                <w:sz w:val="21"/>
                <w:szCs w:val="21"/>
                <w:lang w:eastAsia="zh-CN" w:bidi="ar"/>
              </w:rPr>
            </w:pPr>
            <w:r>
              <w:rPr>
                <w:rFonts w:hint="eastAsia" w:cs="宋体" w:asciiTheme="minorEastAsia" w:hAnsiTheme="minorEastAsia" w:eastAsiaTheme="minorEastAsia"/>
                <w:color w:val="auto"/>
                <w:sz w:val="21"/>
                <w:szCs w:val="21"/>
                <w:lang w:val="en-US" w:eastAsia="zh-CN"/>
              </w:rPr>
              <w:t>平方米</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ascii="宋体" w:hAnsi="宋体" w:cs="宋体"/>
                <w:color w:val="auto"/>
                <w:sz w:val="21"/>
                <w:szCs w:val="21"/>
              </w:rPr>
            </w:pPr>
            <w:r>
              <w:rPr>
                <w:rFonts w:hint="eastAsia" w:cs="宋体" w:asciiTheme="minorEastAsia" w:hAnsiTheme="minorEastAsia" w:eastAsiaTheme="minorEastAsia"/>
                <w:color w:val="auto"/>
                <w:sz w:val="21"/>
                <w:szCs w:val="21"/>
                <w:lang w:val="en-US" w:eastAsia="zh-CN"/>
              </w:rPr>
              <w:t>砖混</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ascii="宋体" w:hAnsi="宋体" w:cs="宋体"/>
                <w:color w:val="auto"/>
                <w:sz w:val="21"/>
                <w:szCs w:val="21"/>
                <w:lang w:val="en-US" w:eastAsia="zh-CN"/>
              </w:rPr>
            </w:pPr>
            <w:r>
              <w:rPr>
                <w:rFonts w:hint="eastAsia" w:cs="宋体" w:asciiTheme="minorEastAsia" w:hAnsiTheme="minorEastAsia" w:eastAsiaTheme="minorEastAsia"/>
                <w:color w:val="auto"/>
                <w:sz w:val="21"/>
                <w:szCs w:val="21"/>
                <w:lang w:val="en-US" w:eastAsia="zh-CN"/>
              </w:rPr>
              <w:t>层高2.9m</w:t>
            </w:r>
          </w:p>
        </w:tc>
      </w:tr>
      <w:tr>
        <w:tblPrEx>
          <w:tblCellMar>
            <w:top w:w="0" w:type="dxa"/>
            <w:left w:w="108" w:type="dxa"/>
            <w:bottom w:w="0" w:type="dxa"/>
            <w:right w:w="108" w:type="dxa"/>
          </w:tblCellMar>
        </w:tblPrEx>
        <w:trPr>
          <w:trHeight w:val="551" w:hRule="atLeast"/>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6</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彩钢瓦房</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48</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eastAsia="zh-CN" w:bidi="ar"/>
              </w:rPr>
            </w:pPr>
            <w:r>
              <w:rPr>
                <w:rFonts w:hint="eastAsia" w:cs="宋体" w:asciiTheme="minorEastAsia" w:hAnsiTheme="minorEastAsia" w:eastAsiaTheme="minorEastAsia"/>
                <w:color w:val="auto"/>
                <w:sz w:val="21"/>
                <w:szCs w:val="21"/>
                <w:lang w:val="en-US" w:eastAsia="zh-CN"/>
              </w:rPr>
              <w:t>平方米</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sz w:val="21"/>
                <w:szCs w:val="21"/>
                <w:lang w:val="en-US" w:eastAsia="zh-CN"/>
              </w:rPr>
            </w:pPr>
            <w:r>
              <w:rPr>
                <w:rFonts w:hint="eastAsia" w:cs="宋体" w:asciiTheme="minorEastAsia" w:hAnsiTheme="minorEastAsia" w:eastAsiaTheme="minorEastAsia"/>
                <w:color w:val="auto"/>
                <w:sz w:val="21"/>
                <w:szCs w:val="21"/>
                <w:lang w:val="en-US" w:eastAsia="zh-CN"/>
              </w:rPr>
              <w:t>彩钢瓦</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ascii="宋体" w:hAnsi="宋体" w:cs="宋体"/>
                <w:color w:val="auto"/>
                <w:sz w:val="21"/>
                <w:szCs w:val="21"/>
                <w:lang w:val="en-US" w:eastAsia="zh-CN"/>
              </w:rPr>
            </w:pPr>
            <w:r>
              <w:rPr>
                <w:rFonts w:hint="eastAsia" w:cs="宋体" w:asciiTheme="minorEastAsia" w:hAnsiTheme="minorEastAsia" w:eastAsiaTheme="minorEastAsia"/>
                <w:color w:val="auto"/>
                <w:sz w:val="21"/>
                <w:szCs w:val="21"/>
                <w:lang w:val="en-US" w:eastAsia="zh-CN"/>
              </w:rPr>
              <w:t>层高3.5m</w:t>
            </w:r>
          </w:p>
        </w:tc>
      </w:tr>
      <w:tr>
        <w:tblPrEx>
          <w:tblCellMar>
            <w:top w:w="0" w:type="dxa"/>
            <w:left w:w="108" w:type="dxa"/>
            <w:bottom w:w="0" w:type="dxa"/>
            <w:right w:w="108" w:type="dxa"/>
          </w:tblCellMar>
        </w:tblPrEx>
        <w:trPr>
          <w:trHeight w:val="551" w:hRule="atLeast"/>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7</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水泥地坪</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3762</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eastAsia="zh-CN" w:bidi="ar"/>
              </w:rPr>
            </w:pPr>
            <w:r>
              <w:rPr>
                <w:rFonts w:hint="eastAsia" w:cs="宋体" w:asciiTheme="minorEastAsia" w:hAnsiTheme="minorEastAsia" w:eastAsiaTheme="minorEastAsia"/>
                <w:color w:val="auto"/>
                <w:sz w:val="21"/>
                <w:szCs w:val="21"/>
                <w:lang w:val="en-US" w:eastAsia="zh-CN"/>
              </w:rPr>
              <w:t>平方米</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sz w:val="21"/>
                <w:szCs w:val="21"/>
                <w:lang w:val="en-US" w:eastAsia="zh-CN"/>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ascii="宋体" w:hAnsi="宋体" w:cs="宋体"/>
                <w:color w:val="auto"/>
                <w:sz w:val="21"/>
                <w:szCs w:val="21"/>
                <w:lang w:val="en-US" w:eastAsia="zh-CN"/>
              </w:rPr>
            </w:pPr>
            <w:r>
              <w:rPr>
                <w:rFonts w:hint="eastAsia" w:cs="宋体" w:asciiTheme="minorEastAsia" w:hAnsiTheme="minorEastAsia" w:eastAsiaTheme="minorEastAsia"/>
                <w:color w:val="auto"/>
                <w:sz w:val="21"/>
                <w:szCs w:val="21"/>
                <w:lang w:val="en-US" w:eastAsia="zh-CN"/>
              </w:rPr>
              <w:t>厚度15cm</w:t>
            </w:r>
          </w:p>
        </w:tc>
      </w:tr>
      <w:tr>
        <w:tblPrEx>
          <w:tblCellMar>
            <w:top w:w="0" w:type="dxa"/>
            <w:left w:w="108" w:type="dxa"/>
            <w:bottom w:w="0" w:type="dxa"/>
            <w:right w:w="108" w:type="dxa"/>
          </w:tblCellMar>
        </w:tblPrEx>
        <w:trPr>
          <w:trHeight w:val="551" w:hRule="atLeast"/>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8</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碎石基础</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600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eastAsia="zh-CN" w:bidi="ar"/>
              </w:rPr>
            </w:pPr>
            <w:r>
              <w:rPr>
                <w:rFonts w:hint="eastAsia" w:cs="宋体" w:asciiTheme="minorEastAsia" w:hAnsiTheme="minorEastAsia" w:eastAsiaTheme="minorEastAsia"/>
                <w:color w:val="auto"/>
                <w:sz w:val="21"/>
                <w:szCs w:val="21"/>
                <w:lang w:val="en-US" w:eastAsia="zh-CN"/>
              </w:rPr>
              <w:t>平方米</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sz w:val="21"/>
                <w:szCs w:val="21"/>
                <w:lang w:val="en-US" w:eastAsia="zh-CN"/>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ascii="宋体" w:hAnsi="宋体" w:cs="宋体"/>
                <w:color w:val="auto"/>
                <w:sz w:val="21"/>
                <w:szCs w:val="21"/>
                <w:lang w:val="en-US" w:eastAsia="zh-CN"/>
              </w:rPr>
            </w:pPr>
            <w:r>
              <w:rPr>
                <w:rFonts w:hint="eastAsia" w:cs="宋体" w:asciiTheme="minorEastAsia" w:hAnsiTheme="minorEastAsia" w:eastAsiaTheme="minorEastAsia"/>
                <w:color w:val="auto"/>
                <w:sz w:val="21"/>
                <w:szCs w:val="21"/>
                <w:lang w:val="en-US" w:eastAsia="zh-CN"/>
              </w:rPr>
              <w:t>平均厚度约10cm</w:t>
            </w:r>
          </w:p>
        </w:tc>
      </w:tr>
      <w:tr>
        <w:tblPrEx>
          <w:tblCellMar>
            <w:top w:w="0" w:type="dxa"/>
            <w:left w:w="108" w:type="dxa"/>
            <w:bottom w:w="0" w:type="dxa"/>
            <w:right w:w="108" w:type="dxa"/>
          </w:tblCellMar>
        </w:tblPrEx>
        <w:trPr>
          <w:trHeight w:val="551" w:hRule="atLeast"/>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9</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砖混围墙</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12</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eastAsia="zh-CN" w:bidi="ar"/>
              </w:rPr>
            </w:pPr>
            <w:r>
              <w:rPr>
                <w:rFonts w:hint="eastAsia" w:cs="宋体" w:asciiTheme="minorEastAsia" w:hAnsiTheme="minorEastAsia" w:eastAsiaTheme="minorEastAsia"/>
                <w:color w:val="auto"/>
                <w:sz w:val="21"/>
                <w:szCs w:val="21"/>
                <w:lang w:val="en-US" w:eastAsia="zh-CN"/>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sz w:val="21"/>
                <w:szCs w:val="21"/>
                <w:lang w:val="en-US" w:eastAsia="zh-CN"/>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ascii="宋体" w:hAnsi="宋体" w:cs="宋体"/>
                <w:color w:val="auto"/>
                <w:sz w:val="21"/>
                <w:szCs w:val="21"/>
                <w:lang w:val="en-US" w:eastAsia="zh-CN"/>
              </w:rPr>
            </w:pPr>
            <w:r>
              <w:rPr>
                <w:rFonts w:hint="eastAsia" w:cs="宋体" w:asciiTheme="minorEastAsia" w:hAnsiTheme="minorEastAsia" w:eastAsiaTheme="minorEastAsia"/>
                <w:color w:val="auto"/>
                <w:sz w:val="21"/>
                <w:szCs w:val="21"/>
                <w:lang w:val="en-US" w:eastAsia="zh-CN"/>
              </w:rPr>
              <w:t>位于西门，高2.3m，厚35cm，空心，预留电动门空间，表面抹水泥</w:t>
            </w:r>
          </w:p>
        </w:tc>
      </w:tr>
      <w:tr>
        <w:tblPrEx>
          <w:tblCellMar>
            <w:top w:w="0" w:type="dxa"/>
            <w:left w:w="108" w:type="dxa"/>
            <w:bottom w:w="0" w:type="dxa"/>
            <w:right w:w="108" w:type="dxa"/>
          </w:tblCellMar>
        </w:tblPrEx>
        <w:trPr>
          <w:trHeight w:val="551" w:hRule="atLeast"/>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10</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砖混围墙</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267.2</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eastAsia="zh-CN" w:bidi="ar"/>
              </w:rPr>
            </w:pPr>
            <w:r>
              <w:rPr>
                <w:rFonts w:hint="eastAsia" w:cs="宋体" w:asciiTheme="minorEastAsia" w:hAnsiTheme="minorEastAsia" w:eastAsiaTheme="minorEastAsia"/>
                <w:color w:val="auto"/>
                <w:sz w:val="21"/>
                <w:szCs w:val="21"/>
                <w:lang w:val="en-US" w:eastAsia="zh-CN"/>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sz w:val="21"/>
                <w:szCs w:val="21"/>
                <w:lang w:val="en-US" w:eastAsia="zh-CN"/>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ascii="宋体" w:hAnsi="宋体" w:cs="宋体"/>
                <w:color w:val="auto"/>
                <w:sz w:val="21"/>
                <w:szCs w:val="21"/>
                <w:lang w:val="en-US" w:eastAsia="zh-CN"/>
              </w:rPr>
            </w:pPr>
            <w:r>
              <w:rPr>
                <w:rFonts w:hint="eastAsia" w:cs="宋体" w:asciiTheme="minorEastAsia" w:hAnsiTheme="minorEastAsia" w:eastAsiaTheme="minorEastAsia"/>
                <w:color w:val="auto"/>
                <w:sz w:val="21"/>
                <w:szCs w:val="21"/>
                <w:lang w:val="en-US" w:eastAsia="zh-CN"/>
              </w:rPr>
              <w:t>高2.9m，一砖墙，表面抹水泥</w:t>
            </w:r>
          </w:p>
        </w:tc>
      </w:tr>
      <w:tr>
        <w:tblPrEx>
          <w:tblCellMar>
            <w:top w:w="0" w:type="dxa"/>
            <w:left w:w="108" w:type="dxa"/>
            <w:bottom w:w="0" w:type="dxa"/>
            <w:right w:w="108" w:type="dxa"/>
          </w:tblCellMar>
        </w:tblPrEx>
        <w:trPr>
          <w:trHeight w:val="551" w:hRule="atLeast"/>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11</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铁艺围墙</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17</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eastAsia="zh-CN" w:bidi="ar"/>
              </w:rPr>
            </w:pPr>
            <w:r>
              <w:rPr>
                <w:rFonts w:hint="eastAsia" w:cs="宋体" w:asciiTheme="minorEastAsia" w:hAnsiTheme="minorEastAsia" w:eastAsiaTheme="minorEastAsia"/>
                <w:color w:val="auto"/>
                <w:sz w:val="21"/>
                <w:szCs w:val="21"/>
                <w:lang w:val="en-US" w:eastAsia="zh-CN"/>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sz w:val="21"/>
                <w:szCs w:val="21"/>
                <w:lang w:val="en-US" w:eastAsia="zh-CN"/>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ascii="宋体" w:hAnsi="宋体" w:cs="宋体"/>
                <w:color w:val="auto"/>
                <w:sz w:val="21"/>
                <w:szCs w:val="21"/>
                <w:lang w:val="en-US" w:eastAsia="zh-CN"/>
              </w:rPr>
            </w:pPr>
            <w:r>
              <w:rPr>
                <w:rFonts w:hint="eastAsia" w:cs="宋体" w:asciiTheme="minorEastAsia" w:hAnsiTheme="minorEastAsia" w:eastAsiaTheme="minorEastAsia"/>
                <w:color w:val="auto"/>
                <w:sz w:val="21"/>
                <w:szCs w:val="21"/>
                <w:lang w:val="en-US" w:eastAsia="zh-CN"/>
              </w:rPr>
              <w:t>高1.5m</w:t>
            </w:r>
          </w:p>
        </w:tc>
      </w:tr>
      <w:tr>
        <w:tblPrEx>
          <w:tblCellMar>
            <w:top w:w="0" w:type="dxa"/>
            <w:left w:w="108" w:type="dxa"/>
            <w:bottom w:w="0" w:type="dxa"/>
            <w:right w:w="108" w:type="dxa"/>
          </w:tblCellMar>
        </w:tblPrEx>
        <w:trPr>
          <w:trHeight w:val="551" w:hRule="atLeast"/>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12</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围墙</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154</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eastAsia="zh-CN" w:bidi="ar"/>
              </w:rPr>
            </w:pPr>
            <w:r>
              <w:rPr>
                <w:rFonts w:hint="eastAsia" w:cs="宋体" w:asciiTheme="minorEastAsia" w:hAnsiTheme="minorEastAsia" w:eastAsiaTheme="minorEastAsia"/>
                <w:color w:val="auto"/>
                <w:sz w:val="21"/>
                <w:szCs w:val="21"/>
                <w:lang w:val="en-US" w:eastAsia="zh-CN"/>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sz w:val="21"/>
                <w:szCs w:val="21"/>
                <w:lang w:val="en-US" w:eastAsia="zh-CN"/>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ascii="宋体" w:hAnsi="宋体" w:cs="宋体"/>
                <w:color w:val="auto"/>
                <w:sz w:val="21"/>
                <w:szCs w:val="21"/>
                <w:lang w:val="en-US" w:eastAsia="zh-CN"/>
              </w:rPr>
            </w:pPr>
            <w:r>
              <w:rPr>
                <w:rFonts w:hint="eastAsia" w:cs="宋体" w:asciiTheme="minorEastAsia" w:hAnsiTheme="minorEastAsia" w:eastAsiaTheme="minorEastAsia"/>
                <w:color w:val="auto"/>
                <w:sz w:val="21"/>
                <w:szCs w:val="21"/>
                <w:lang w:val="en-US" w:eastAsia="zh-CN"/>
              </w:rPr>
              <w:t>高2m，砖基础0.7m，上部铁艺</w:t>
            </w:r>
          </w:p>
        </w:tc>
      </w:tr>
      <w:tr>
        <w:tblPrEx>
          <w:tblCellMar>
            <w:top w:w="0" w:type="dxa"/>
            <w:left w:w="108" w:type="dxa"/>
            <w:bottom w:w="0" w:type="dxa"/>
            <w:right w:w="108" w:type="dxa"/>
          </w:tblCellMar>
        </w:tblPrEx>
        <w:trPr>
          <w:trHeight w:val="551" w:hRule="atLeast"/>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13</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铁丝网围挡</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27</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eastAsia="zh-CN" w:bidi="ar"/>
              </w:rPr>
            </w:pPr>
            <w:r>
              <w:rPr>
                <w:rFonts w:hint="eastAsia" w:cs="宋体" w:asciiTheme="minorEastAsia" w:hAnsiTheme="minorEastAsia" w:eastAsiaTheme="minorEastAsia"/>
                <w:color w:val="auto"/>
                <w:sz w:val="21"/>
                <w:szCs w:val="21"/>
                <w:lang w:val="en-US" w:eastAsia="zh-CN"/>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sz w:val="21"/>
                <w:szCs w:val="21"/>
                <w:lang w:val="en-US" w:eastAsia="zh-CN"/>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ascii="宋体" w:hAnsi="宋体" w:cs="宋体"/>
                <w:color w:val="auto"/>
                <w:sz w:val="21"/>
                <w:szCs w:val="21"/>
                <w:lang w:val="en-US" w:eastAsia="zh-CN"/>
              </w:rPr>
            </w:pPr>
            <w:r>
              <w:rPr>
                <w:rFonts w:hint="eastAsia" w:cs="宋体" w:asciiTheme="minorEastAsia" w:hAnsiTheme="minorEastAsia" w:eastAsiaTheme="minorEastAsia"/>
                <w:color w:val="auto"/>
                <w:sz w:val="21"/>
                <w:szCs w:val="21"/>
                <w:lang w:val="en-US" w:eastAsia="zh-CN"/>
              </w:rPr>
              <w:t>高1.5m</w:t>
            </w:r>
          </w:p>
        </w:tc>
      </w:tr>
      <w:tr>
        <w:tblPrEx>
          <w:tblCellMar>
            <w:top w:w="0" w:type="dxa"/>
            <w:left w:w="108" w:type="dxa"/>
            <w:bottom w:w="0" w:type="dxa"/>
            <w:right w:w="108" w:type="dxa"/>
          </w:tblCellMar>
        </w:tblPrEx>
        <w:trPr>
          <w:trHeight w:val="551" w:hRule="atLeast"/>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14</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北门造型门楼</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1</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eastAsia="zh-CN" w:bidi="ar"/>
              </w:rPr>
            </w:pPr>
            <w:r>
              <w:rPr>
                <w:rFonts w:hint="eastAsia" w:cs="宋体" w:asciiTheme="minorEastAsia" w:hAnsiTheme="minorEastAsia" w:eastAsiaTheme="minorEastAsia"/>
                <w:color w:val="auto"/>
                <w:sz w:val="21"/>
                <w:szCs w:val="21"/>
                <w:lang w:val="en-US" w:eastAsia="zh-CN"/>
              </w:rPr>
              <w:t>座</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sz w:val="21"/>
                <w:szCs w:val="21"/>
                <w:lang w:val="en-US" w:eastAsia="zh-CN"/>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ascii="宋体" w:hAnsi="宋体" w:cs="宋体"/>
                <w:color w:val="auto"/>
                <w:sz w:val="21"/>
                <w:szCs w:val="21"/>
                <w:lang w:val="en-US" w:eastAsia="zh-CN"/>
              </w:rPr>
            </w:pPr>
            <w:r>
              <w:rPr>
                <w:rFonts w:hint="eastAsia" w:cs="宋体" w:asciiTheme="minorEastAsia" w:hAnsiTheme="minorEastAsia" w:eastAsiaTheme="minorEastAsia"/>
                <w:color w:val="auto"/>
                <w:sz w:val="21"/>
                <w:szCs w:val="21"/>
                <w:lang w:val="en-US" w:eastAsia="zh-CN"/>
              </w:rPr>
              <w:t>含一间门卫</w:t>
            </w:r>
          </w:p>
        </w:tc>
      </w:tr>
      <w:tr>
        <w:tblPrEx>
          <w:tblCellMar>
            <w:top w:w="0" w:type="dxa"/>
            <w:left w:w="108" w:type="dxa"/>
            <w:bottom w:w="0" w:type="dxa"/>
            <w:right w:w="108" w:type="dxa"/>
          </w:tblCellMar>
        </w:tblPrEx>
        <w:trPr>
          <w:trHeight w:val="551" w:hRule="atLeast"/>
        </w:trPr>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15</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西门造型门楼</w:t>
            </w:r>
          </w:p>
        </w:tc>
        <w:tc>
          <w:tcPr>
            <w:tcW w:w="1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1</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eastAsia="zh-CN" w:bidi="ar"/>
              </w:rPr>
            </w:pPr>
            <w:r>
              <w:rPr>
                <w:rFonts w:hint="eastAsia" w:cs="宋体" w:asciiTheme="minorEastAsia" w:hAnsiTheme="minorEastAsia" w:eastAsiaTheme="minorEastAsia"/>
                <w:color w:val="auto"/>
                <w:sz w:val="21"/>
                <w:szCs w:val="21"/>
                <w:lang w:val="en-US" w:eastAsia="zh-CN"/>
              </w:rPr>
              <w:t>座</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sz w:val="21"/>
                <w:szCs w:val="21"/>
                <w:lang w:val="en-US" w:eastAsia="zh-CN"/>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ascii="宋体" w:hAnsi="宋体" w:cs="宋体"/>
                <w:color w:val="auto"/>
                <w:sz w:val="21"/>
                <w:szCs w:val="21"/>
                <w:lang w:val="en-US" w:eastAsia="zh-CN"/>
              </w:rPr>
            </w:pPr>
            <w:r>
              <w:rPr>
                <w:rFonts w:hint="eastAsia" w:cs="宋体" w:asciiTheme="minorEastAsia" w:hAnsiTheme="minorEastAsia" w:eastAsiaTheme="minorEastAsia"/>
                <w:color w:val="auto"/>
                <w:sz w:val="21"/>
                <w:szCs w:val="21"/>
                <w:lang w:val="en-US" w:eastAsia="zh-CN"/>
              </w:rPr>
              <w:t>长11.5m，宽8m，中心有圆形空洞（直径约6m），含四立柱（直径约12cm）</w:t>
            </w:r>
          </w:p>
        </w:tc>
      </w:tr>
    </w:tbl>
    <w:p>
      <w:pPr>
        <w:shd w:val="clear"/>
        <w:spacing w:line="520" w:lineRule="exact"/>
        <w:ind w:firstLine="480" w:firstLineChars="200"/>
        <w:outlineLvl w:val="1"/>
        <w:rPr>
          <w:rFonts w:hint="eastAsia" w:cs="Times New Roman" w:asciiTheme="minorEastAsia" w:hAnsiTheme="minorEastAsia" w:eastAsiaTheme="minorEastAsia"/>
          <w:color w:val="auto"/>
          <w:spacing w:val="0"/>
        </w:rPr>
      </w:pPr>
    </w:p>
    <w:p>
      <w:pPr>
        <w:pStyle w:val="2"/>
        <w:rPr>
          <w:rFonts w:hint="eastAsia"/>
        </w:rPr>
      </w:pPr>
    </w:p>
    <w:tbl>
      <w:tblPr>
        <w:tblStyle w:val="18"/>
        <w:tblW w:w="9710" w:type="dxa"/>
        <w:tblInd w:w="-386" w:type="dxa"/>
        <w:tblLayout w:type="fixed"/>
        <w:tblCellMar>
          <w:top w:w="0" w:type="dxa"/>
          <w:left w:w="108" w:type="dxa"/>
          <w:bottom w:w="0" w:type="dxa"/>
          <w:right w:w="108" w:type="dxa"/>
        </w:tblCellMar>
      </w:tblPr>
      <w:tblGrid>
        <w:gridCol w:w="1217"/>
        <w:gridCol w:w="2049"/>
        <w:gridCol w:w="1717"/>
        <w:gridCol w:w="1200"/>
        <w:gridCol w:w="950"/>
        <w:gridCol w:w="2577"/>
      </w:tblGrid>
      <w:tr>
        <w:tblPrEx>
          <w:tblCellMar>
            <w:top w:w="0" w:type="dxa"/>
            <w:left w:w="108" w:type="dxa"/>
            <w:bottom w:w="0" w:type="dxa"/>
            <w:right w:w="108" w:type="dxa"/>
          </w:tblCellMar>
        </w:tblPrEx>
        <w:trPr>
          <w:trHeight w:val="357" w:hRule="atLeast"/>
          <w:tblHeader/>
        </w:trPr>
        <w:tc>
          <w:tcPr>
            <w:tcW w:w="9710" w:type="dxa"/>
            <w:gridSpan w:val="6"/>
            <w:tcBorders>
              <w:top w:val="nil"/>
              <w:left w:val="nil"/>
              <w:bottom w:val="single" w:color="auto" w:sz="4" w:space="0"/>
              <w:right w:val="nil"/>
            </w:tcBorders>
            <w:shd w:val="clear" w:color="auto" w:fill="auto"/>
            <w:noWrap/>
            <w:vAlign w:val="center"/>
          </w:tcPr>
          <w:p>
            <w:pPr>
              <w:shd w:val="clear"/>
              <w:spacing w:line="330" w:lineRule="exact"/>
              <w:ind w:firstLine="360" w:firstLineChars="150"/>
              <w:jc w:val="center"/>
              <w:rPr>
                <w:rFonts w:hint="eastAsia" w:ascii="宋体" w:hAnsi="宋体" w:cs="宋体" w:eastAsiaTheme="minorEastAsia"/>
                <w:b/>
                <w:bCs/>
                <w:color w:val="auto"/>
                <w:kern w:val="0"/>
                <w:sz w:val="21"/>
                <w:szCs w:val="21"/>
                <w:lang w:eastAsia="zh-CN" w:bidi="ar"/>
              </w:rPr>
            </w:pPr>
            <w:r>
              <w:rPr>
                <w:rFonts w:hint="eastAsia" w:asciiTheme="minorEastAsia" w:hAnsiTheme="minorEastAsia" w:eastAsiaTheme="minorEastAsia"/>
                <w:color w:val="auto"/>
                <w:spacing w:val="0"/>
                <w:szCs w:val="22"/>
              </w:rPr>
              <w:t>估价对象</w:t>
            </w:r>
            <w:r>
              <w:rPr>
                <w:rFonts w:hint="eastAsia" w:asciiTheme="minorEastAsia" w:hAnsiTheme="minorEastAsia" w:eastAsiaTheme="minorEastAsia"/>
                <w:color w:val="auto"/>
                <w:spacing w:val="0"/>
                <w:szCs w:val="22"/>
                <w:lang w:eastAsia="zh-CN"/>
              </w:rPr>
              <w:t>绿化苗木一览表</w:t>
            </w:r>
          </w:p>
        </w:tc>
      </w:tr>
      <w:tr>
        <w:tblPrEx>
          <w:tblCellMar>
            <w:top w:w="0" w:type="dxa"/>
            <w:left w:w="108" w:type="dxa"/>
            <w:bottom w:w="0" w:type="dxa"/>
            <w:right w:w="108" w:type="dxa"/>
          </w:tblCellMar>
        </w:tblPrEx>
        <w:trPr>
          <w:trHeight w:val="357" w:hRule="atLeast"/>
          <w:tblHeader/>
        </w:trPr>
        <w:tc>
          <w:tcPr>
            <w:tcW w:w="121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序号</w:t>
            </w:r>
          </w:p>
        </w:tc>
        <w:tc>
          <w:tcPr>
            <w:tcW w:w="204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名称</w:t>
            </w:r>
          </w:p>
        </w:tc>
        <w:tc>
          <w:tcPr>
            <w:tcW w:w="171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数量</w:t>
            </w:r>
          </w:p>
        </w:tc>
        <w:tc>
          <w:tcPr>
            <w:tcW w:w="120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单位</w:t>
            </w:r>
          </w:p>
        </w:tc>
        <w:tc>
          <w:tcPr>
            <w:tcW w:w="95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eastAsia="宋体" w:cs="宋体"/>
                <w:b/>
                <w:bCs/>
                <w:color w:val="auto"/>
                <w:sz w:val="21"/>
                <w:szCs w:val="21"/>
                <w:lang w:eastAsia="zh-CN"/>
              </w:rPr>
            </w:pPr>
            <w:r>
              <w:rPr>
                <w:rFonts w:hint="eastAsia" w:ascii="宋体" w:hAnsi="宋体" w:cs="宋体"/>
                <w:b/>
                <w:bCs/>
                <w:color w:val="auto"/>
                <w:kern w:val="0"/>
                <w:sz w:val="21"/>
                <w:szCs w:val="21"/>
                <w:lang w:eastAsia="zh-CN" w:bidi="ar"/>
              </w:rPr>
              <w:t>米径（</w:t>
            </w:r>
            <w:r>
              <w:rPr>
                <w:rFonts w:hint="eastAsia" w:ascii="宋体" w:hAnsi="宋体" w:cs="宋体"/>
                <w:b/>
                <w:bCs/>
                <w:color w:val="auto"/>
                <w:kern w:val="0"/>
                <w:sz w:val="21"/>
                <w:szCs w:val="21"/>
                <w:lang w:val="en-US" w:eastAsia="zh-CN" w:bidi="ar"/>
              </w:rPr>
              <w:t>cm</w:t>
            </w:r>
            <w:r>
              <w:rPr>
                <w:rFonts w:hint="eastAsia" w:ascii="宋体" w:hAnsi="宋体" w:cs="宋体"/>
                <w:b/>
                <w:bCs/>
                <w:color w:val="auto"/>
                <w:kern w:val="0"/>
                <w:sz w:val="21"/>
                <w:szCs w:val="21"/>
                <w:lang w:eastAsia="zh-CN" w:bidi="ar"/>
              </w:rPr>
              <w:t>）</w:t>
            </w:r>
          </w:p>
        </w:tc>
        <w:tc>
          <w:tcPr>
            <w:tcW w:w="257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备注</w:t>
            </w:r>
          </w:p>
        </w:tc>
      </w:tr>
      <w:tr>
        <w:tblPrEx>
          <w:tblCellMar>
            <w:top w:w="0" w:type="dxa"/>
            <w:left w:w="108" w:type="dxa"/>
            <w:bottom w:w="0" w:type="dxa"/>
            <w:right w:w="108" w:type="dxa"/>
          </w:tblCellMar>
        </w:tblPrEx>
        <w:trPr>
          <w:trHeight w:val="428"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桂花树</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0-5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多杆</w:t>
            </w: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桂花树</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5-10</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三杆</w:t>
            </w: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桂花树</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6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5-10</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4</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桂花树</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15-20</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多杆</w:t>
            </w: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桂花树</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10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多杆</w:t>
            </w: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6</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广玉兰</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3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7</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广玉兰</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20-25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8</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桑树</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9</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桑树</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20-30</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三杆</w:t>
            </w: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紫薇</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5-10</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11</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紫薇</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12</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棕榈树</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3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13</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棕榈树</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20-25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14</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香樟</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0-5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15</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香樟</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16</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香樟</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15-20</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17</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香樟</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25-30</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18</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香樟</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30-35</w:t>
            </w: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19</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绿化带</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190</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平方米</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2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r>
      <w:tr>
        <w:tblPrEx>
          <w:tblCellMar>
            <w:top w:w="0" w:type="dxa"/>
            <w:left w:w="108" w:type="dxa"/>
            <w:bottom w:w="0" w:type="dxa"/>
            <w:right w:w="108" w:type="dxa"/>
          </w:tblCellMar>
        </w:tblPrEx>
        <w:trPr>
          <w:trHeight w:val="357" w:hRule="atLeast"/>
        </w:trPr>
        <w:tc>
          <w:tcPr>
            <w:tcW w:w="9710" w:type="dxa"/>
            <w:gridSpan w:val="6"/>
            <w:tcBorders>
              <w:top w:val="nil"/>
              <w:left w:val="nil"/>
              <w:bottom w:val="single" w:color="auto" w:sz="4" w:space="0"/>
              <w:right w:val="nil"/>
            </w:tcBorders>
            <w:shd w:val="clear" w:color="auto" w:fill="auto"/>
            <w:noWrap/>
            <w:vAlign w:val="center"/>
          </w:tcPr>
          <w:p>
            <w:pPr>
              <w:shd w:val="clear"/>
              <w:spacing w:line="330" w:lineRule="exact"/>
              <w:ind w:firstLine="360" w:firstLineChars="150"/>
              <w:jc w:val="center"/>
              <w:rPr>
                <w:rFonts w:hint="eastAsia" w:ascii="宋体" w:hAnsi="宋体" w:cs="宋体" w:eastAsiaTheme="minorEastAsia"/>
                <w:b/>
                <w:bCs/>
                <w:color w:val="auto"/>
                <w:kern w:val="0"/>
                <w:sz w:val="21"/>
                <w:szCs w:val="21"/>
                <w:lang w:eastAsia="zh-CN" w:bidi="ar"/>
              </w:rPr>
            </w:pPr>
            <w:r>
              <w:rPr>
                <w:rFonts w:hint="eastAsia" w:asciiTheme="minorEastAsia" w:hAnsiTheme="minorEastAsia" w:eastAsiaTheme="minorEastAsia"/>
                <w:color w:val="auto"/>
                <w:spacing w:val="0"/>
                <w:szCs w:val="22"/>
              </w:rPr>
              <w:t>估价对象</w:t>
            </w:r>
            <w:r>
              <w:rPr>
                <w:rFonts w:hint="eastAsia" w:asciiTheme="minorEastAsia" w:hAnsiTheme="minorEastAsia" w:eastAsiaTheme="minorEastAsia"/>
                <w:color w:val="auto"/>
                <w:spacing w:val="0"/>
                <w:szCs w:val="22"/>
                <w:lang w:eastAsia="zh-CN"/>
              </w:rPr>
              <w:t>设备一览表</w:t>
            </w:r>
          </w:p>
        </w:tc>
      </w:tr>
      <w:tr>
        <w:tblPrEx>
          <w:tblCellMar>
            <w:top w:w="0" w:type="dxa"/>
            <w:left w:w="108" w:type="dxa"/>
            <w:bottom w:w="0" w:type="dxa"/>
            <w:right w:w="108" w:type="dxa"/>
          </w:tblCellMar>
        </w:tblPrEx>
        <w:trPr>
          <w:trHeight w:val="357" w:hRule="atLeast"/>
        </w:trPr>
        <w:tc>
          <w:tcPr>
            <w:tcW w:w="121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序号</w:t>
            </w:r>
          </w:p>
        </w:tc>
        <w:tc>
          <w:tcPr>
            <w:tcW w:w="204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名称</w:t>
            </w:r>
          </w:p>
        </w:tc>
        <w:tc>
          <w:tcPr>
            <w:tcW w:w="171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数量</w:t>
            </w:r>
          </w:p>
        </w:tc>
        <w:tc>
          <w:tcPr>
            <w:tcW w:w="120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单位</w:t>
            </w:r>
          </w:p>
        </w:tc>
        <w:tc>
          <w:tcPr>
            <w:tcW w:w="3527"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备注</w:t>
            </w:r>
          </w:p>
        </w:tc>
      </w:tr>
      <w:tr>
        <w:tblPrEx>
          <w:tblCellMar>
            <w:top w:w="0" w:type="dxa"/>
            <w:left w:w="108" w:type="dxa"/>
            <w:bottom w:w="0" w:type="dxa"/>
            <w:right w:w="108" w:type="dxa"/>
          </w:tblCellMar>
        </w:tblPrEx>
        <w:trPr>
          <w:trHeight w:val="428"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电动门</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8</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米</w:t>
            </w:r>
          </w:p>
        </w:tc>
        <w:tc>
          <w:tcPr>
            <w:tcW w:w="3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高1.6m，位于西门，</w:t>
            </w: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电动门</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16</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米</w:t>
            </w:r>
          </w:p>
        </w:tc>
        <w:tc>
          <w:tcPr>
            <w:tcW w:w="3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高1.6m，位于北门</w:t>
            </w: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变压器</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台</w:t>
            </w:r>
          </w:p>
        </w:tc>
        <w:tc>
          <w:tcPr>
            <w:tcW w:w="3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200千瓦</w:t>
            </w: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4</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动力柜</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台</w:t>
            </w:r>
          </w:p>
        </w:tc>
        <w:tc>
          <w:tcPr>
            <w:tcW w:w="3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XL-21</w:t>
            </w: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配电柜</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台</w:t>
            </w:r>
          </w:p>
        </w:tc>
        <w:tc>
          <w:tcPr>
            <w:tcW w:w="3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GGD</w:t>
            </w:r>
          </w:p>
        </w:tc>
      </w:tr>
      <w:tr>
        <w:tblPrEx>
          <w:tblCellMar>
            <w:top w:w="0" w:type="dxa"/>
            <w:left w:w="108" w:type="dxa"/>
            <w:bottom w:w="0" w:type="dxa"/>
            <w:right w:w="108" w:type="dxa"/>
          </w:tblCellMar>
        </w:tblPrEx>
        <w:trPr>
          <w:trHeight w:val="435" w:hRule="atLeast"/>
        </w:trPr>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6</w:t>
            </w:r>
          </w:p>
        </w:tc>
        <w:tc>
          <w:tcPr>
            <w:tcW w:w="2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广告铁架</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84</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平方米</w:t>
            </w:r>
          </w:p>
        </w:tc>
        <w:tc>
          <w:tcPr>
            <w:tcW w:w="35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网格状，高约3m，长28m</w:t>
            </w:r>
          </w:p>
        </w:tc>
      </w:tr>
    </w:tbl>
    <w:p>
      <w:pPr>
        <w:shd w:val="clear"/>
        <w:spacing w:line="520" w:lineRule="exact"/>
        <w:ind w:firstLine="480" w:firstLineChars="200"/>
        <w:outlineLvl w:val="1"/>
        <w:rPr>
          <w:rFonts w:hint="eastAsia" w:cs="Times New Roman" w:asciiTheme="minorEastAsia" w:hAnsiTheme="minorEastAsia" w:eastAsiaTheme="minorEastAsia"/>
          <w:color w:val="auto"/>
          <w:spacing w:val="0"/>
        </w:rPr>
      </w:pPr>
    </w:p>
    <w:p>
      <w:pPr>
        <w:shd w:val="clear"/>
        <w:spacing w:line="520" w:lineRule="exact"/>
        <w:ind w:firstLine="480" w:firstLineChars="200"/>
        <w:outlineLvl w:val="1"/>
        <w:rPr>
          <w:rFonts w:hint="eastAsia" w:cs="Times New Roman" w:asciiTheme="minorEastAsia" w:hAnsiTheme="minorEastAsia" w:eastAsiaTheme="minorEastAsia"/>
          <w:color w:val="auto"/>
          <w:spacing w:val="0"/>
        </w:rPr>
      </w:pPr>
    </w:p>
    <w:p>
      <w:pPr>
        <w:keepNext w:val="0"/>
        <w:keepLines w:val="0"/>
        <w:pageBreakBefore w:val="0"/>
        <w:widowControl w:val="0"/>
        <w:shd w:val="clear"/>
        <w:kinsoku/>
        <w:wordWrap/>
        <w:overflowPunct/>
        <w:topLinePunct w:val="0"/>
        <w:autoSpaceDE/>
        <w:autoSpaceDN/>
        <w:bidi w:val="0"/>
        <w:spacing w:line="480" w:lineRule="exact"/>
        <w:ind w:firstLine="480" w:firstLineChars="200"/>
        <w:textAlignment w:val="auto"/>
        <w:outlineLvl w:val="1"/>
        <w:rPr>
          <w:rFonts w:hint="eastAsia" w:cs="Times New Roman" w:asciiTheme="minorEastAsia" w:hAnsiTheme="minorEastAsia" w:eastAsiaTheme="minorEastAsia"/>
          <w:color w:val="auto"/>
          <w:spacing w:val="0"/>
        </w:rPr>
      </w:pPr>
      <w:r>
        <w:rPr>
          <w:rFonts w:hint="eastAsia" w:cs="Times New Roman" w:asciiTheme="minorEastAsia" w:hAnsiTheme="minorEastAsia" w:eastAsiaTheme="minorEastAsia"/>
          <w:color w:val="auto"/>
          <w:spacing w:val="0"/>
        </w:rPr>
        <w:t>（二）权益状况</w:t>
      </w:r>
    </w:p>
    <w:p>
      <w:pPr>
        <w:keepNext w:val="0"/>
        <w:keepLines w:val="0"/>
        <w:pageBreakBefore w:val="0"/>
        <w:widowControl w:val="0"/>
        <w:shd w:val="clear"/>
        <w:kinsoku/>
        <w:wordWrap/>
        <w:overflowPunct/>
        <w:topLinePunct w:val="0"/>
        <w:autoSpaceDE/>
        <w:autoSpaceDN/>
        <w:bidi w:val="0"/>
        <w:adjustRightInd w:val="0"/>
        <w:snapToGrid w:val="0"/>
        <w:spacing w:line="480" w:lineRule="exact"/>
        <w:ind w:firstLine="480" w:firstLineChars="200"/>
        <w:textAlignment w:val="auto"/>
        <w:rPr>
          <w:rFonts w:asciiTheme="minorEastAsia" w:hAnsiTheme="minorEastAsia" w:eastAsiaTheme="minorEastAsia"/>
          <w:color w:val="auto"/>
          <w:spacing w:val="0"/>
          <w:szCs w:val="22"/>
        </w:rPr>
      </w:pPr>
      <w:r>
        <w:rPr>
          <w:rFonts w:hint="eastAsia" w:asciiTheme="minorEastAsia" w:hAnsiTheme="minorEastAsia" w:eastAsiaTheme="minorEastAsia"/>
          <w:color w:val="auto"/>
          <w:spacing w:val="0"/>
          <w:szCs w:val="22"/>
        </w:rPr>
        <w:t>1、土地权益状况</w:t>
      </w:r>
    </w:p>
    <w:p>
      <w:pPr>
        <w:keepNext w:val="0"/>
        <w:keepLines w:val="0"/>
        <w:pageBreakBefore w:val="0"/>
        <w:widowControl w:val="0"/>
        <w:shd w:val="clear"/>
        <w:kinsoku/>
        <w:wordWrap/>
        <w:overflowPunct/>
        <w:topLinePunct w:val="0"/>
        <w:autoSpaceDE/>
        <w:autoSpaceDN/>
        <w:bidi w:val="0"/>
        <w:adjustRightInd w:val="0"/>
        <w:snapToGrid w:val="0"/>
        <w:spacing w:line="480" w:lineRule="exact"/>
        <w:ind w:firstLine="480" w:firstLineChars="200"/>
        <w:textAlignment w:val="auto"/>
        <w:rPr>
          <w:rFonts w:hint="eastAsia" w:asciiTheme="minorEastAsia" w:hAnsiTheme="minorEastAsia" w:eastAsiaTheme="minorEastAsia"/>
          <w:color w:val="auto"/>
          <w:spacing w:val="0"/>
        </w:rPr>
      </w:pPr>
      <w:r>
        <w:rPr>
          <w:rFonts w:hint="eastAsia" w:asciiTheme="minorEastAsia" w:hAnsiTheme="minorEastAsia" w:eastAsiaTheme="minorEastAsia"/>
          <w:color w:val="auto"/>
          <w:spacing w:val="0"/>
        </w:rPr>
        <w:t>根据估价委托人提供的《国有土地使用证》（</w:t>
      </w:r>
      <w:r>
        <w:rPr>
          <w:rFonts w:hint="eastAsia" w:asciiTheme="minorEastAsia" w:hAnsiTheme="minorEastAsia" w:eastAsiaTheme="minorEastAsia"/>
          <w:color w:val="auto"/>
          <w:spacing w:val="0"/>
          <w:lang w:eastAsia="zh-CN"/>
        </w:rPr>
        <w:t>六土国用（2007）第9001号</w:t>
      </w:r>
      <w:r>
        <w:rPr>
          <w:rFonts w:hint="eastAsia" w:asciiTheme="minorEastAsia" w:hAnsiTheme="minorEastAsia" w:eastAsiaTheme="minorEastAsia"/>
          <w:color w:val="auto"/>
          <w:spacing w:val="0"/>
        </w:rPr>
        <w:t>）</w:t>
      </w:r>
      <w:r>
        <w:rPr>
          <w:rFonts w:hint="eastAsia" w:asciiTheme="minorEastAsia" w:hAnsiTheme="minorEastAsia" w:eastAsiaTheme="minorEastAsia"/>
          <w:color w:val="auto"/>
          <w:spacing w:val="0"/>
          <w:lang w:eastAsia="zh-CN"/>
        </w:rPr>
        <w:t>等</w:t>
      </w:r>
      <w:r>
        <w:rPr>
          <w:rFonts w:hint="eastAsia" w:asciiTheme="minorEastAsia" w:hAnsiTheme="minorEastAsia" w:eastAsiaTheme="minorEastAsia"/>
          <w:color w:val="auto"/>
          <w:spacing w:val="0"/>
        </w:rPr>
        <w:t>资料显示，估价对象土地使用权人为</w:t>
      </w:r>
      <w:r>
        <w:rPr>
          <w:rFonts w:hint="eastAsia" w:asciiTheme="minorEastAsia" w:hAnsiTheme="minorEastAsia" w:eastAsiaTheme="minorEastAsia"/>
          <w:color w:val="auto"/>
          <w:spacing w:val="0"/>
          <w:lang w:eastAsia="zh-CN"/>
        </w:rPr>
        <w:t>六安颇美特建设机械有限公司</w:t>
      </w:r>
      <w:r>
        <w:rPr>
          <w:rFonts w:hint="eastAsia" w:asciiTheme="minorEastAsia" w:hAnsiTheme="minorEastAsia" w:eastAsiaTheme="minorEastAsia"/>
          <w:color w:val="auto"/>
          <w:spacing w:val="0"/>
        </w:rPr>
        <w:t>，座落于</w:t>
      </w:r>
      <w:r>
        <w:rPr>
          <w:rFonts w:hint="eastAsia" w:asciiTheme="minorEastAsia" w:hAnsiTheme="minorEastAsia" w:eastAsiaTheme="minorEastAsia"/>
          <w:color w:val="auto"/>
          <w:spacing w:val="0"/>
          <w:szCs w:val="22"/>
          <w:lang w:eastAsia="zh-CN"/>
        </w:rPr>
        <w:t>六安开发区经六路东侧</w:t>
      </w:r>
      <w:r>
        <w:rPr>
          <w:rFonts w:hint="eastAsia" w:asciiTheme="minorEastAsia" w:hAnsiTheme="minorEastAsia" w:eastAsiaTheme="minorEastAsia"/>
          <w:color w:val="auto"/>
          <w:spacing w:val="0"/>
        </w:rPr>
        <w:t>。</w:t>
      </w:r>
    </w:p>
    <w:tbl>
      <w:tblPr>
        <w:tblStyle w:val="18"/>
        <w:tblW w:w="9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1575"/>
        <w:gridCol w:w="1830"/>
        <w:gridCol w:w="1200"/>
        <w:gridCol w:w="1070"/>
        <w:gridCol w:w="926"/>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705" w:type="dxa"/>
            <w:gridSpan w:val="7"/>
            <w:tcBorders>
              <w:top w:val="nil"/>
              <w:left w:val="nil"/>
              <w:bottom w:val="single" w:color="auto" w:sz="4" w:space="0"/>
              <w:right w:val="nil"/>
            </w:tcBorders>
            <w:noWrap/>
            <w:vAlign w:val="center"/>
          </w:tcPr>
          <w:p>
            <w:pPr>
              <w:widowControl/>
              <w:shd w:val="clear"/>
              <w:spacing w:line="0" w:lineRule="atLeast"/>
              <w:jc w:val="center"/>
              <w:rPr>
                <w:rFonts w:hint="eastAsia" w:cs="宋体" w:asciiTheme="minorEastAsia" w:hAnsiTheme="minorEastAsia" w:eastAsiaTheme="minorEastAsia"/>
                <w:b/>
                <w:bCs/>
                <w:color w:val="auto"/>
                <w:kern w:val="0"/>
                <w:sz w:val="21"/>
                <w:szCs w:val="21"/>
                <w:lang w:eastAsia="zh-CN"/>
              </w:rPr>
            </w:pPr>
            <w:r>
              <w:rPr>
                <w:rFonts w:hint="eastAsia" w:cs="宋体" w:asciiTheme="minorEastAsia" w:hAnsiTheme="minorEastAsia" w:eastAsiaTheme="minorEastAsia"/>
                <w:b/>
                <w:bCs/>
                <w:color w:val="auto"/>
                <w:kern w:val="0"/>
                <w:sz w:val="21"/>
                <w:szCs w:val="21"/>
                <w:lang w:eastAsia="zh-CN"/>
              </w:rPr>
              <w:t>估价对象土地权益状况一览表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05" w:type="dxa"/>
            <w:tcBorders>
              <w:top w:val="single" w:color="auto" w:sz="4" w:space="0"/>
              <w:left w:val="single" w:color="auto" w:sz="4" w:space="0"/>
              <w:bottom w:val="single" w:color="auto" w:sz="4" w:space="0"/>
              <w:right w:val="single" w:color="auto" w:sz="4" w:space="0"/>
            </w:tcBorders>
            <w:noWrap/>
            <w:vAlign w:val="center"/>
          </w:tcPr>
          <w:p>
            <w:pPr>
              <w:widowControl/>
              <w:shd w:val="clear"/>
              <w:spacing w:line="0" w:lineRule="atLeast"/>
              <w:jc w:val="center"/>
              <w:rPr>
                <w:rFonts w:cs="宋体" w:asciiTheme="minorEastAsia" w:hAnsiTheme="minorEastAsia" w:eastAsiaTheme="minorEastAsia"/>
                <w:b/>
                <w:bCs/>
                <w:color w:val="auto"/>
                <w:kern w:val="0"/>
                <w:sz w:val="21"/>
                <w:szCs w:val="21"/>
              </w:rPr>
            </w:pPr>
            <w:r>
              <w:rPr>
                <w:rFonts w:hint="eastAsia" w:cs="宋体" w:asciiTheme="minorEastAsia" w:hAnsiTheme="minorEastAsia" w:eastAsiaTheme="minorEastAsia"/>
                <w:b/>
                <w:bCs/>
                <w:color w:val="auto"/>
                <w:kern w:val="0"/>
                <w:sz w:val="21"/>
                <w:szCs w:val="21"/>
                <w:lang w:eastAsia="zh-CN"/>
              </w:rPr>
              <w:t>土地使用权人</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shd w:val="clear"/>
              <w:spacing w:line="0" w:lineRule="atLeast"/>
              <w:jc w:val="center"/>
              <w:rPr>
                <w:rFonts w:cs="宋体" w:asciiTheme="minorEastAsia" w:hAnsiTheme="minorEastAsia" w:eastAsiaTheme="minorEastAsia"/>
                <w:b/>
                <w:bCs/>
                <w:color w:val="auto"/>
                <w:kern w:val="0"/>
                <w:sz w:val="21"/>
                <w:szCs w:val="21"/>
              </w:rPr>
            </w:pPr>
            <w:r>
              <w:rPr>
                <w:rFonts w:hint="eastAsia" w:cs="宋体" w:asciiTheme="minorEastAsia" w:hAnsiTheme="minorEastAsia" w:eastAsiaTheme="minorEastAsia"/>
                <w:b/>
                <w:bCs/>
                <w:color w:val="auto"/>
                <w:kern w:val="0"/>
                <w:sz w:val="21"/>
                <w:szCs w:val="21"/>
              </w:rPr>
              <w:t>坐落</w:t>
            </w:r>
          </w:p>
        </w:tc>
        <w:tc>
          <w:tcPr>
            <w:tcW w:w="1830" w:type="dxa"/>
            <w:tcBorders>
              <w:top w:val="single" w:color="auto" w:sz="4" w:space="0"/>
              <w:left w:val="single" w:color="auto" w:sz="4" w:space="0"/>
              <w:bottom w:val="single" w:color="auto" w:sz="4" w:space="0"/>
              <w:right w:val="single" w:color="auto" w:sz="4" w:space="0"/>
            </w:tcBorders>
            <w:vAlign w:val="center"/>
          </w:tcPr>
          <w:p>
            <w:pPr>
              <w:widowControl/>
              <w:shd w:val="clear"/>
              <w:spacing w:line="0" w:lineRule="atLeast"/>
              <w:jc w:val="center"/>
              <w:rPr>
                <w:rFonts w:hint="eastAsia" w:cs="宋体" w:asciiTheme="minorEastAsia" w:hAnsiTheme="minorEastAsia" w:eastAsiaTheme="minorEastAsia"/>
                <w:b/>
                <w:bCs/>
                <w:color w:val="auto"/>
                <w:kern w:val="0"/>
                <w:sz w:val="21"/>
                <w:szCs w:val="21"/>
              </w:rPr>
            </w:pPr>
            <w:r>
              <w:rPr>
                <w:rFonts w:hint="eastAsia" w:cs="宋体" w:asciiTheme="minorEastAsia" w:hAnsiTheme="minorEastAsia" w:eastAsiaTheme="minorEastAsia"/>
                <w:b/>
                <w:bCs/>
                <w:color w:val="auto"/>
                <w:kern w:val="0"/>
                <w:sz w:val="21"/>
                <w:szCs w:val="21"/>
              </w:rPr>
              <w:t>权证字号</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hd w:val="clear"/>
              <w:spacing w:line="0" w:lineRule="atLeast"/>
              <w:jc w:val="center"/>
              <w:rPr>
                <w:rFonts w:hint="eastAsia" w:cs="宋体" w:asciiTheme="minorEastAsia" w:hAnsiTheme="minorEastAsia" w:eastAsiaTheme="minorEastAsia"/>
                <w:b/>
                <w:bCs/>
                <w:color w:val="auto"/>
                <w:kern w:val="0"/>
                <w:sz w:val="21"/>
                <w:szCs w:val="21"/>
              </w:rPr>
            </w:pPr>
            <w:r>
              <w:rPr>
                <w:rFonts w:hint="eastAsia" w:cs="宋体" w:asciiTheme="minorEastAsia" w:hAnsiTheme="minorEastAsia" w:eastAsiaTheme="minorEastAsia"/>
                <w:b/>
                <w:bCs/>
                <w:color w:val="auto"/>
                <w:kern w:val="0"/>
                <w:sz w:val="21"/>
                <w:szCs w:val="21"/>
              </w:rPr>
              <w:t>土地面积（㎡）</w:t>
            </w:r>
          </w:p>
        </w:tc>
        <w:tc>
          <w:tcPr>
            <w:tcW w:w="1070" w:type="dxa"/>
            <w:tcBorders>
              <w:top w:val="single" w:color="auto" w:sz="4" w:space="0"/>
              <w:left w:val="single" w:color="auto" w:sz="4" w:space="0"/>
              <w:bottom w:val="single" w:color="auto" w:sz="4" w:space="0"/>
              <w:right w:val="single" w:color="auto" w:sz="4" w:space="0"/>
            </w:tcBorders>
            <w:noWrap/>
            <w:vAlign w:val="center"/>
          </w:tcPr>
          <w:p>
            <w:pPr>
              <w:widowControl/>
              <w:shd w:val="clear"/>
              <w:spacing w:line="0" w:lineRule="atLeast"/>
              <w:jc w:val="center"/>
              <w:rPr>
                <w:rFonts w:hint="eastAsia" w:cs="宋体" w:asciiTheme="minorEastAsia" w:hAnsiTheme="minorEastAsia" w:eastAsiaTheme="minorEastAsia"/>
                <w:b/>
                <w:bCs/>
                <w:color w:val="auto"/>
                <w:kern w:val="0"/>
                <w:sz w:val="21"/>
                <w:szCs w:val="21"/>
              </w:rPr>
            </w:pPr>
            <w:r>
              <w:rPr>
                <w:rFonts w:hint="eastAsia" w:cs="宋体" w:asciiTheme="minorEastAsia" w:hAnsiTheme="minorEastAsia" w:eastAsiaTheme="minorEastAsia"/>
                <w:b/>
                <w:bCs/>
                <w:color w:val="auto"/>
                <w:kern w:val="0"/>
                <w:sz w:val="21"/>
                <w:szCs w:val="21"/>
              </w:rPr>
              <w:t>地类</w:t>
            </w:r>
          </w:p>
          <w:p>
            <w:pPr>
              <w:widowControl/>
              <w:shd w:val="clear"/>
              <w:spacing w:line="0" w:lineRule="atLeast"/>
              <w:jc w:val="center"/>
              <w:rPr>
                <w:rFonts w:hint="eastAsia" w:cs="宋体" w:asciiTheme="minorEastAsia" w:hAnsiTheme="minorEastAsia" w:eastAsiaTheme="minorEastAsia"/>
                <w:b/>
                <w:bCs/>
                <w:color w:val="auto"/>
                <w:kern w:val="0"/>
                <w:sz w:val="21"/>
                <w:szCs w:val="21"/>
              </w:rPr>
            </w:pPr>
            <w:r>
              <w:rPr>
                <w:rFonts w:hint="eastAsia" w:cs="宋体" w:asciiTheme="minorEastAsia" w:hAnsiTheme="minorEastAsia" w:eastAsiaTheme="minorEastAsia"/>
                <w:b/>
                <w:bCs/>
                <w:color w:val="auto"/>
                <w:kern w:val="0"/>
                <w:sz w:val="21"/>
                <w:szCs w:val="21"/>
              </w:rPr>
              <w:t>（用途）</w:t>
            </w:r>
          </w:p>
        </w:tc>
        <w:tc>
          <w:tcPr>
            <w:tcW w:w="926" w:type="dxa"/>
            <w:tcBorders>
              <w:top w:val="single" w:color="auto" w:sz="4" w:space="0"/>
              <w:left w:val="single" w:color="auto" w:sz="4" w:space="0"/>
              <w:bottom w:val="single" w:color="auto" w:sz="4" w:space="0"/>
              <w:right w:val="single" w:color="auto" w:sz="4" w:space="0"/>
            </w:tcBorders>
            <w:noWrap/>
            <w:vAlign w:val="center"/>
          </w:tcPr>
          <w:p>
            <w:pPr>
              <w:widowControl/>
              <w:shd w:val="clear"/>
              <w:spacing w:line="0" w:lineRule="atLeast"/>
              <w:jc w:val="center"/>
              <w:rPr>
                <w:rFonts w:hint="eastAsia" w:cs="宋体" w:asciiTheme="minorEastAsia" w:hAnsiTheme="minorEastAsia" w:eastAsiaTheme="minorEastAsia"/>
                <w:b/>
                <w:bCs/>
                <w:color w:val="auto"/>
                <w:kern w:val="0"/>
                <w:sz w:val="21"/>
                <w:szCs w:val="21"/>
              </w:rPr>
            </w:pPr>
            <w:r>
              <w:rPr>
                <w:rFonts w:hint="eastAsia" w:cs="宋体" w:asciiTheme="minorEastAsia" w:hAnsiTheme="minorEastAsia" w:eastAsiaTheme="minorEastAsia"/>
                <w:b/>
                <w:bCs/>
                <w:color w:val="auto"/>
                <w:kern w:val="0"/>
                <w:sz w:val="21"/>
                <w:szCs w:val="21"/>
              </w:rPr>
              <w:t>使用权类型</w:t>
            </w:r>
          </w:p>
        </w:tc>
        <w:tc>
          <w:tcPr>
            <w:tcW w:w="1199" w:type="dxa"/>
            <w:tcBorders>
              <w:top w:val="single" w:color="auto" w:sz="4" w:space="0"/>
              <w:left w:val="single" w:color="auto" w:sz="4" w:space="0"/>
              <w:bottom w:val="single" w:color="auto" w:sz="4" w:space="0"/>
              <w:right w:val="single" w:color="auto" w:sz="4" w:space="0"/>
            </w:tcBorders>
            <w:noWrap/>
            <w:vAlign w:val="center"/>
          </w:tcPr>
          <w:p>
            <w:pPr>
              <w:widowControl/>
              <w:shd w:val="clear"/>
              <w:spacing w:line="0" w:lineRule="atLeast"/>
              <w:jc w:val="center"/>
              <w:rPr>
                <w:rFonts w:hint="eastAsia" w:cs="宋体" w:asciiTheme="minorEastAsia" w:hAnsiTheme="minorEastAsia" w:eastAsiaTheme="minorEastAsia"/>
                <w:b/>
                <w:bCs/>
                <w:color w:val="auto"/>
                <w:kern w:val="0"/>
                <w:sz w:val="21"/>
                <w:szCs w:val="21"/>
              </w:rPr>
            </w:pPr>
            <w:r>
              <w:rPr>
                <w:rFonts w:hint="eastAsia" w:cs="宋体" w:asciiTheme="minorEastAsia" w:hAnsiTheme="minorEastAsia" w:eastAsiaTheme="minorEastAsia"/>
                <w:b/>
                <w:bCs/>
                <w:color w:val="auto"/>
                <w:kern w:val="0"/>
                <w:sz w:val="21"/>
                <w:szCs w:val="21"/>
              </w:rPr>
              <w:t>终止日期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905" w:type="dxa"/>
            <w:tcBorders>
              <w:top w:val="single" w:color="auto" w:sz="4" w:space="0"/>
              <w:left w:val="single" w:color="auto" w:sz="4" w:space="0"/>
              <w:right w:val="single" w:color="auto" w:sz="4" w:space="0"/>
            </w:tcBorders>
            <w:noWrap/>
            <w:vAlign w:val="center"/>
          </w:tcPr>
          <w:p>
            <w:pPr>
              <w:widowControl/>
              <w:shd w:val="clear"/>
              <w:spacing w:line="0" w:lineRule="atLeas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eastAsiaTheme="minorEastAsia"/>
                <w:color w:val="auto"/>
                <w:kern w:val="0"/>
                <w:sz w:val="21"/>
                <w:szCs w:val="21"/>
                <w:lang w:eastAsia="zh-CN"/>
              </w:rPr>
              <w:t>六安颇美特建设机械有限公司</w:t>
            </w:r>
          </w:p>
        </w:tc>
        <w:tc>
          <w:tcPr>
            <w:tcW w:w="1575" w:type="dxa"/>
            <w:tcBorders>
              <w:top w:val="single" w:color="auto" w:sz="4" w:space="0"/>
              <w:left w:val="single" w:color="auto" w:sz="4" w:space="0"/>
              <w:right w:val="single" w:color="auto" w:sz="4" w:space="0"/>
            </w:tcBorders>
            <w:noWrap/>
            <w:vAlign w:val="center"/>
          </w:tcPr>
          <w:p>
            <w:pPr>
              <w:widowControl/>
              <w:shd w:val="clear"/>
              <w:spacing w:line="0" w:lineRule="atLeas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eastAsiaTheme="minorEastAsia"/>
                <w:color w:val="auto"/>
                <w:kern w:val="0"/>
                <w:sz w:val="21"/>
                <w:szCs w:val="21"/>
                <w:lang w:eastAsia="zh-CN"/>
              </w:rPr>
              <w:t>六安开发区经六路东侧</w:t>
            </w:r>
          </w:p>
        </w:tc>
        <w:tc>
          <w:tcPr>
            <w:tcW w:w="1830" w:type="dxa"/>
            <w:tcBorders>
              <w:top w:val="single" w:color="auto" w:sz="4" w:space="0"/>
              <w:left w:val="single" w:color="auto" w:sz="4" w:space="0"/>
              <w:bottom w:val="single" w:color="auto" w:sz="4" w:space="0"/>
              <w:right w:val="single" w:color="auto" w:sz="4" w:space="0"/>
            </w:tcBorders>
            <w:vAlign w:val="center"/>
          </w:tcPr>
          <w:p>
            <w:pPr>
              <w:widowControl/>
              <w:shd w:val="clear"/>
              <w:spacing w:line="0" w:lineRule="atLeas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eastAsiaTheme="minorEastAsia"/>
                <w:color w:val="auto"/>
                <w:kern w:val="0"/>
                <w:sz w:val="21"/>
                <w:szCs w:val="21"/>
                <w:lang w:eastAsia="zh-CN"/>
              </w:rPr>
              <w:t>六土国用（2007）第9001号</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hd w:val="clear"/>
              <w:spacing w:line="0" w:lineRule="atLeast"/>
              <w:jc w:val="center"/>
              <w:rPr>
                <w:rFonts w:hint="default" w:cs="宋体" w:asciiTheme="minorEastAsia" w:hAnsiTheme="minorEastAsia" w:eastAsiaTheme="minorEastAsia"/>
                <w:color w:val="auto"/>
                <w:kern w:val="0"/>
                <w:sz w:val="21"/>
                <w:szCs w:val="21"/>
                <w:lang w:val="en-US" w:eastAsia="zh-CN"/>
              </w:rPr>
            </w:pPr>
            <w:r>
              <w:rPr>
                <w:rFonts w:hint="eastAsia" w:cs="宋体" w:asciiTheme="minorEastAsia" w:hAnsiTheme="minorEastAsia" w:eastAsiaTheme="minorEastAsia"/>
                <w:color w:val="auto"/>
                <w:kern w:val="0"/>
                <w:sz w:val="21"/>
                <w:szCs w:val="21"/>
                <w:lang w:val="en-US" w:eastAsia="zh-CN"/>
              </w:rPr>
              <w:t>14828.37</w:t>
            </w:r>
          </w:p>
        </w:tc>
        <w:tc>
          <w:tcPr>
            <w:tcW w:w="1070" w:type="dxa"/>
            <w:tcBorders>
              <w:top w:val="single" w:color="auto" w:sz="4" w:space="0"/>
              <w:left w:val="single" w:color="auto" w:sz="4" w:space="0"/>
              <w:right w:val="single" w:color="auto" w:sz="4" w:space="0"/>
            </w:tcBorders>
            <w:noWrap/>
            <w:vAlign w:val="center"/>
          </w:tcPr>
          <w:p>
            <w:pPr>
              <w:widowControl/>
              <w:shd w:val="clear"/>
              <w:spacing w:line="0" w:lineRule="atLeas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eastAsiaTheme="minorEastAsia"/>
                <w:color w:val="auto"/>
                <w:kern w:val="0"/>
                <w:sz w:val="21"/>
                <w:szCs w:val="21"/>
                <w:lang w:eastAsia="zh-CN"/>
              </w:rPr>
              <w:t>工业</w:t>
            </w:r>
          </w:p>
        </w:tc>
        <w:tc>
          <w:tcPr>
            <w:tcW w:w="926" w:type="dxa"/>
            <w:tcBorders>
              <w:top w:val="single" w:color="auto" w:sz="4" w:space="0"/>
              <w:left w:val="single" w:color="auto" w:sz="4" w:space="0"/>
              <w:right w:val="single" w:color="auto" w:sz="4" w:space="0"/>
            </w:tcBorders>
            <w:vAlign w:val="center"/>
          </w:tcPr>
          <w:p>
            <w:pPr>
              <w:widowControl/>
              <w:shd w:val="clear"/>
              <w:spacing w:line="0" w:lineRule="atLeas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eastAsiaTheme="minorEastAsia"/>
                <w:color w:val="auto"/>
                <w:kern w:val="0"/>
                <w:sz w:val="21"/>
                <w:szCs w:val="21"/>
                <w:lang w:eastAsia="zh-CN"/>
              </w:rPr>
              <w:t>出让</w:t>
            </w:r>
          </w:p>
        </w:tc>
        <w:tc>
          <w:tcPr>
            <w:tcW w:w="1199" w:type="dxa"/>
            <w:tcBorders>
              <w:top w:val="single" w:color="auto" w:sz="4" w:space="0"/>
              <w:left w:val="single" w:color="auto" w:sz="4" w:space="0"/>
              <w:right w:val="single" w:color="auto" w:sz="4" w:space="0"/>
            </w:tcBorders>
            <w:vAlign w:val="center"/>
          </w:tcPr>
          <w:p>
            <w:pPr>
              <w:widowControl/>
              <w:shd w:val="clear"/>
              <w:spacing w:line="0" w:lineRule="atLeast"/>
              <w:jc w:val="center"/>
              <w:rPr>
                <w:rFonts w:hint="eastAsia" w:cs="宋体" w:asciiTheme="minorEastAsia" w:hAnsiTheme="minorEastAsia" w:eastAsiaTheme="minorEastAsia"/>
                <w:color w:val="auto"/>
                <w:kern w:val="0"/>
                <w:sz w:val="21"/>
                <w:szCs w:val="21"/>
                <w:lang w:eastAsia="zh-CN"/>
              </w:rPr>
            </w:pPr>
            <w:r>
              <w:rPr>
                <w:rFonts w:hint="eastAsia" w:cs="宋体" w:asciiTheme="minorEastAsia" w:hAnsiTheme="minorEastAsia" w:eastAsiaTheme="minorEastAsia"/>
                <w:color w:val="auto"/>
                <w:kern w:val="0"/>
                <w:sz w:val="21"/>
                <w:szCs w:val="21"/>
                <w:lang w:eastAsia="zh-CN"/>
              </w:rPr>
              <w:t>2056年07月03日</w:t>
            </w:r>
          </w:p>
        </w:tc>
      </w:tr>
    </w:tbl>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olor w:val="auto"/>
          <w:spacing w:val="0"/>
          <w:szCs w:val="24"/>
        </w:rPr>
      </w:pPr>
      <w:r>
        <w:rPr>
          <w:rFonts w:hint="eastAsia" w:asciiTheme="minorEastAsia" w:hAnsiTheme="minorEastAsia" w:eastAsiaTheme="minorEastAsia"/>
          <w:color w:val="auto"/>
          <w:spacing w:val="0"/>
          <w:szCs w:val="24"/>
        </w:rPr>
        <w:t>2、建筑物权益状况</w:t>
      </w:r>
    </w:p>
    <w:p>
      <w:pPr>
        <w:shd w:val="clear"/>
        <w:adjustRightInd w:val="0"/>
        <w:snapToGrid w:val="0"/>
        <w:spacing w:line="520" w:lineRule="exact"/>
        <w:ind w:firstLine="480" w:firstLineChars="200"/>
        <w:rPr>
          <w:rFonts w:hint="eastAsia" w:asciiTheme="minorEastAsia" w:hAnsiTheme="minorEastAsia" w:eastAsiaTheme="minorEastAsia"/>
          <w:color w:val="auto"/>
          <w:spacing w:val="0"/>
          <w:szCs w:val="24"/>
        </w:rPr>
      </w:pPr>
      <w:r>
        <w:rPr>
          <w:rFonts w:hint="eastAsia" w:asciiTheme="minorEastAsia" w:hAnsiTheme="minorEastAsia" w:eastAsiaTheme="minorEastAsia"/>
          <w:color w:val="auto"/>
          <w:spacing w:val="0"/>
        </w:rPr>
        <w:t>估价对象位于</w:t>
      </w:r>
      <w:r>
        <w:rPr>
          <w:rFonts w:hint="eastAsia" w:asciiTheme="minorEastAsia" w:hAnsiTheme="minorEastAsia" w:eastAsiaTheme="minorEastAsia"/>
          <w:color w:val="auto"/>
          <w:spacing w:val="0"/>
          <w:lang w:eastAsia="zh-CN"/>
        </w:rPr>
        <w:t>六安开发区经六路东侧</w:t>
      </w:r>
      <w:r>
        <w:rPr>
          <w:rFonts w:hint="eastAsia" w:asciiTheme="minorEastAsia" w:hAnsiTheme="minorEastAsia" w:eastAsiaTheme="minorEastAsia"/>
          <w:color w:val="auto"/>
          <w:spacing w:val="0"/>
        </w:rPr>
        <w:t>工业用房，</w:t>
      </w:r>
      <w:r>
        <w:rPr>
          <w:rFonts w:hint="eastAsia" w:asciiTheme="minorEastAsia" w:hAnsiTheme="minorEastAsia" w:eastAsiaTheme="minorEastAsia"/>
          <w:color w:val="auto"/>
          <w:spacing w:val="0"/>
          <w:lang w:eastAsia="zh-CN"/>
        </w:rPr>
        <w:t>资产占有人</w:t>
      </w:r>
      <w:r>
        <w:rPr>
          <w:rFonts w:hint="eastAsia" w:asciiTheme="minorEastAsia" w:hAnsiTheme="minorEastAsia" w:eastAsiaTheme="minorEastAsia"/>
          <w:color w:val="auto"/>
          <w:spacing w:val="0"/>
        </w:rPr>
        <w:t>为</w:t>
      </w:r>
      <w:r>
        <w:rPr>
          <w:rFonts w:hint="eastAsia" w:asciiTheme="minorEastAsia" w:hAnsiTheme="minorEastAsia" w:eastAsiaTheme="minorEastAsia"/>
          <w:color w:val="auto"/>
          <w:spacing w:val="0"/>
          <w:lang w:eastAsia="zh-CN"/>
        </w:rPr>
        <w:t>六安颇美特建设机械有限公司</w:t>
      </w:r>
      <w:r>
        <w:rPr>
          <w:rFonts w:hint="eastAsia" w:asciiTheme="minorEastAsia" w:hAnsiTheme="minorEastAsia" w:eastAsiaTheme="minorEastAsia"/>
          <w:color w:val="auto"/>
          <w:spacing w:val="0"/>
        </w:rPr>
        <w:t>。具体信息见下表。</w:t>
      </w:r>
    </w:p>
    <w:tbl>
      <w:tblPr>
        <w:tblStyle w:val="18"/>
        <w:tblW w:w="9280" w:type="dxa"/>
        <w:jc w:val="center"/>
        <w:tblLayout w:type="fixed"/>
        <w:tblCellMar>
          <w:top w:w="0" w:type="dxa"/>
          <w:left w:w="0" w:type="dxa"/>
          <w:bottom w:w="0" w:type="dxa"/>
          <w:right w:w="0" w:type="dxa"/>
        </w:tblCellMar>
      </w:tblPr>
      <w:tblGrid>
        <w:gridCol w:w="1190"/>
        <w:gridCol w:w="795"/>
        <w:gridCol w:w="1245"/>
        <w:gridCol w:w="1348"/>
        <w:gridCol w:w="1175"/>
        <w:gridCol w:w="1109"/>
        <w:gridCol w:w="1044"/>
        <w:gridCol w:w="1374"/>
      </w:tblGrid>
      <w:tr>
        <w:tblPrEx>
          <w:tblCellMar>
            <w:top w:w="0" w:type="dxa"/>
            <w:left w:w="0" w:type="dxa"/>
            <w:bottom w:w="0" w:type="dxa"/>
            <w:right w:w="0" w:type="dxa"/>
          </w:tblCellMar>
        </w:tblPrEx>
        <w:trPr>
          <w:trHeight w:val="492" w:hRule="atLeast"/>
          <w:jc w:val="center"/>
        </w:trPr>
        <w:tc>
          <w:tcPr>
            <w:tcW w:w="92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b/>
                <w:bCs/>
                <w:color w:val="auto"/>
                <w:kern w:val="0"/>
                <w:sz w:val="21"/>
                <w:szCs w:val="21"/>
              </w:rPr>
            </w:pPr>
            <w:r>
              <w:rPr>
                <w:rFonts w:hint="eastAsia" w:cs="宋体" w:asciiTheme="minorEastAsia" w:hAnsiTheme="minorEastAsia" w:eastAsiaTheme="minorEastAsia"/>
                <w:b/>
                <w:bCs/>
                <w:color w:val="auto"/>
                <w:kern w:val="0"/>
                <w:sz w:val="21"/>
                <w:szCs w:val="21"/>
                <w:lang w:eastAsia="zh-CN"/>
              </w:rPr>
              <w:t>估价对象已办理产权登记建筑物权益状况一览表</w:t>
            </w:r>
          </w:p>
        </w:tc>
      </w:tr>
      <w:tr>
        <w:tblPrEx>
          <w:tblCellMar>
            <w:top w:w="0" w:type="dxa"/>
            <w:left w:w="0" w:type="dxa"/>
            <w:bottom w:w="0" w:type="dxa"/>
            <w:right w:w="0" w:type="dxa"/>
          </w:tblCellMar>
        </w:tblPrEx>
        <w:trPr>
          <w:trHeight w:val="492" w:hRule="atLeast"/>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b/>
                <w:bCs/>
                <w:color w:val="auto"/>
                <w:sz w:val="21"/>
                <w:szCs w:val="21"/>
                <w:lang w:eastAsia="zh-CN"/>
              </w:rPr>
            </w:pPr>
            <w:r>
              <w:rPr>
                <w:rFonts w:hint="eastAsia" w:cs="宋体" w:asciiTheme="minorEastAsia" w:hAnsiTheme="minorEastAsia" w:eastAsiaTheme="minorEastAsia"/>
                <w:b/>
                <w:bCs/>
                <w:color w:val="auto"/>
                <w:kern w:val="0"/>
                <w:sz w:val="21"/>
                <w:szCs w:val="21"/>
                <w:lang w:eastAsia="zh-CN"/>
              </w:rPr>
              <w:t>房地产权利人</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名称</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面积（m</w:t>
            </w:r>
            <w:r>
              <w:rPr>
                <w:rStyle w:val="50"/>
                <w:rFonts w:hint="default" w:asciiTheme="minorEastAsia" w:hAnsiTheme="minorEastAsia" w:eastAsiaTheme="minorEastAsia"/>
                <w:b/>
                <w:bCs/>
                <w:color w:val="auto"/>
                <w:sz w:val="21"/>
                <w:szCs w:val="21"/>
              </w:rPr>
              <w:t>2</w:t>
            </w:r>
            <w:r>
              <w:rPr>
                <w:rStyle w:val="51"/>
                <w:rFonts w:hint="default" w:asciiTheme="minorEastAsia" w:hAnsiTheme="minorEastAsia" w:eastAsiaTheme="minorEastAsia"/>
                <w:b/>
                <w:bCs/>
                <w:color w:val="auto"/>
                <w:sz w:val="21"/>
                <w:szCs w:val="21"/>
              </w:rPr>
              <w:t>）</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b/>
                <w:bCs/>
                <w:color w:val="auto"/>
                <w:kern w:val="0"/>
                <w:sz w:val="21"/>
                <w:szCs w:val="21"/>
              </w:rPr>
            </w:pPr>
            <w:r>
              <w:rPr>
                <w:rFonts w:hint="eastAsia" w:ascii="宋体" w:hAnsi="宋体" w:cs="宋体" w:eastAsiaTheme="minorEastAsia"/>
                <w:b/>
                <w:bCs/>
                <w:color w:val="auto"/>
                <w:kern w:val="0"/>
                <w:sz w:val="21"/>
                <w:szCs w:val="21"/>
                <w:lang w:eastAsia="zh-CN"/>
              </w:rPr>
              <w:t>房地产权证号</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结构</w:t>
            </w: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层数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lang w:eastAsia="zh-CN"/>
              </w:rPr>
              <w:t>设计</w:t>
            </w:r>
            <w:r>
              <w:rPr>
                <w:rFonts w:hint="eastAsia" w:cs="宋体" w:asciiTheme="minorEastAsia" w:hAnsiTheme="minorEastAsia" w:eastAsiaTheme="minorEastAsia"/>
                <w:b/>
                <w:bCs/>
                <w:color w:val="auto"/>
                <w:kern w:val="0"/>
                <w:sz w:val="21"/>
                <w:szCs w:val="21"/>
              </w:rPr>
              <w:t>用途</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建成年代</w:t>
            </w:r>
          </w:p>
        </w:tc>
      </w:tr>
      <w:tr>
        <w:tblPrEx>
          <w:tblCellMar>
            <w:top w:w="0" w:type="dxa"/>
            <w:left w:w="0" w:type="dxa"/>
            <w:bottom w:w="0" w:type="dxa"/>
            <w:right w:w="0" w:type="dxa"/>
          </w:tblCellMar>
        </w:tblPrEx>
        <w:trPr>
          <w:trHeight w:val="386" w:hRule="atLeast"/>
          <w:jc w:val="center"/>
        </w:trPr>
        <w:tc>
          <w:tcPr>
            <w:tcW w:w="119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eastAsia="zh-CN"/>
              </w:rPr>
            </w:pPr>
            <w:r>
              <w:rPr>
                <w:rFonts w:hint="eastAsia" w:cs="宋体" w:asciiTheme="minorEastAsia" w:hAnsiTheme="minorEastAsia" w:eastAsiaTheme="minorEastAsia"/>
                <w:color w:val="auto"/>
                <w:kern w:val="0"/>
                <w:sz w:val="21"/>
                <w:szCs w:val="21"/>
                <w:lang w:eastAsia="zh-CN"/>
              </w:rPr>
              <w:t>六安颇美特建设机械有限公司</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4010.50</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eastAsia="zh-CN"/>
              </w:rPr>
              <w:t>房地权乡镇字第</w:t>
            </w:r>
            <w:r>
              <w:rPr>
                <w:rFonts w:hint="eastAsia" w:cs="宋体" w:asciiTheme="minorEastAsia" w:hAnsiTheme="minorEastAsia" w:eastAsiaTheme="minorEastAsia"/>
                <w:color w:val="auto"/>
                <w:sz w:val="21"/>
                <w:szCs w:val="21"/>
                <w:lang w:val="en-US" w:eastAsia="zh-CN"/>
              </w:rPr>
              <w:t>456786号</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ascii="宋体" w:hAnsi="宋体" w:cs="宋体"/>
                <w:i w:val="0"/>
                <w:iCs w:val="0"/>
                <w:color w:val="000000"/>
                <w:spacing w:val="10"/>
                <w:kern w:val="0"/>
                <w:sz w:val="22"/>
                <w:szCs w:val="22"/>
                <w:u w:val="none"/>
                <w:lang w:val="en-US" w:eastAsia="zh-CN" w:bidi="ar"/>
              </w:rPr>
              <w:t>钢混</w:t>
            </w: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kern w:val="0"/>
                <w:sz w:val="21"/>
                <w:szCs w:val="21"/>
              </w:rPr>
              <w:t>1</w:t>
            </w:r>
            <w:r>
              <w:rPr>
                <w:rFonts w:hint="eastAsia" w:cs="宋体" w:asciiTheme="minorEastAsia" w:hAnsiTheme="minorEastAsia" w:eastAsiaTheme="minorEastAsia"/>
                <w:color w:val="auto"/>
                <w:kern w:val="0"/>
                <w:sz w:val="21"/>
                <w:szCs w:val="21"/>
                <w:lang w:val="en-US" w:eastAsia="zh-CN"/>
              </w:rPr>
              <w:t>-5</w:t>
            </w:r>
            <w:r>
              <w:rPr>
                <w:rFonts w:hint="eastAsia" w:cs="宋体" w:asciiTheme="minorEastAsia" w:hAnsiTheme="minorEastAsia" w:eastAsiaTheme="minorEastAsia"/>
                <w:color w:val="auto"/>
                <w:kern w:val="0"/>
                <w:sz w:val="21"/>
                <w:szCs w:val="21"/>
              </w:rPr>
              <w:t>/</w:t>
            </w:r>
            <w:r>
              <w:rPr>
                <w:rFonts w:hint="eastAsia" w:cs="宋体" w:asciiTheme="minorEastAsia" w:hAnsiTheme="minorEastAsia" w:eastAsiaTheme="minorEastAsia"/>
                <w:color w:val="auto"/>
                <w:kern w:val="0"/>
                <w:sz w:val="21"/>
                <w:szCs w:val="21"/>
                <w:lang w:val="en-US" w:eastAsia="zh-CN"/>
              </w:rPr>
              <w:t>5</w:t>
            </w:r>
            <w:r>
              <w:rPr>
                <w:rFonts w:hint="eastAsia" w:cs="宋体" w:asciiTheme="minorEastAsia" w:hAnsiTheme="minorEastAsia" w:eastAsiaTheme="minorEastAsia"/>
                <w:color w:val="auto"/>
                <w:kern w:val="0"/>
                <w:sz w:val="21"/>
                <w:szCs w:val="21"/>
              </w:rPr>
              <w:t>F</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ascii="宋体" w:hAnsi="宋体" w:eastAsia="宋体" w:cs="宋体"/>
                <w:i w:val="0"/>
                <w:iCs w:val="0"/>
                <w:color w:val="000000"/>
                <w:spacing w:val="10"/>
                <w:kern w:val="0"/>
                <w:sz w:val="22"/>
                <w:szCs w:val="22"/>
                <w:u w:val="none"/>
                <w:lang w:val="en-US" w:eastAsia="zh-CN" w:bidi="ar"/>
              </w:rPr>
              <w:t>工业</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spacing w:val="10"/>
                <w:kern w:val="0"/>
                <w:sz w:val="22"/>
                <w:szCs w:val="22"/>
                <w:u w:val="none"/>
                <w:lang w:val="en-US" w:eastAsia="zh-CN" w:bidi="ar"/>
              </w:rPr>
            </w:pPr>
            <w:r>
              <w:rPr>
                <w:rFonts w:hint="eastAsia" w:ascii="宋体" w:hAnsi="宋体" w:eastAsia="宋体" w:cs="宋体"/>
                <w:i w:val="0"/>
                <w:iCs w:val="0"/>
                <w:color w:val="000000"/>
                <w:spacing w:val="10"/>
                <w:kern w:val="0"/>
                <w:sz w:val="22"/>
                <w:szCs w:val="22"/>
                <w:u w:val="none"/>
                <w:lang w:val="en-US" w:eastAsia="zh-CN" w:bidi="ar"/>
              </w:rPr>
              <w:t>200</w:t>
            </w:r>
            <w:r>
              <w:rPr>
                <w:rFonts w:hint="eastAsia" w:ascii="宋体" w:hAnsi="宋体" w:cs="宋体"/>
                <w:i w:val="0"/>
                <w:iCs w:val="0"/>
                <w:color w:val="000000"/>
                <w:spacing w:val="10"/>
                <w:kern w:val="0"/>
                <w:sz w:val="22"/>
                <w:szCs w:val="22"/>
                <w:u w:val="none"/>
                <w:lang w:val="en-US" w:eastAsia="zh-CN" w:bidi="ar"/>
              </w:rPr>
              <w:t>8</w:t>
            </w:r>
            <w:r>
              <w:rPr>
                <w:rFonts w:hint="eastAsia" w:ascii="宋体" w:hAnsi="宋体" w:eastAsia="宋体" w:cs="宋体"/>
                <w:i w:val="0"/>
                <w:iCs w:val="0"/>
                <w:color w:val="000000"/>
                <w:spacing w:val="10"/>
                <w:kern w:val="0"/>
                <w:sz w:val="22"/>
                <w:szCs w:val="22"/>
                <w:u w:val="none"/>
                <w:lang w:val="en-US" w:eastAsia="zh-CN" w:bidi="ar"/>
              </w:rPr>
              <w:t>年</w:t>
            </w:r>
          </w:p>
        </w:tc>
      </w:tr>
      <w:tr>
        <w:tblPrEx>
          <w:tblCellMar>
            <w:top w:w="0" w:type="dxa"/>
            <w:left w:w="0" w:type="dxa"/>
            <w:bottom w:w="0" w:type="dxa"/>
            <w:right w:w="0" w:type="dxa"/>
          </w:tblCellMar>
        </w:tblPrEx>
        <w:trPr>
          <w:trHeight w:val="386" w:hRule="atLeast"/>
          <w:jc w:val="center"/>
        </w:trPr>
        <w:tc>
          <w:tcPr>
            <w:tcW w:w="119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684.51</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eastAsia="zh-CN"/>
              </w:rPr>
              <w:t>房地权乡镇字第</w:t>
            </w:r>
            <w:r>
              <w:rPr>
                <w:rFonts w:hint="eastAsia" w:cs="宋体" w:asciiTheme="minorEastAsia" w:hAnsiTheme="minorEastAsia" w:eastAsiaTheme="minorEastAsia"/>
                <w:color w:val="auto"/>
                <w:sz w:val="21"/>
                <w:szCs w:val="21"/>
                <w:lang w:val="en-US" w:eastAsia="zh-CN"/>
              </w:rPr>
              <w:t>456787号</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ascii="宋体" w:hAnsi="宋体" w:cs="宋体"/>
                <w:i w:val="0"/>
                <w:iCs w:val="0"/>
                <w:color w:val="000000"/>
                <w:spacing w:val="10"/>
                <w:kern w:val="0"/>
                <w:sz w:val="22"/>
                <w:szCs w:val="22"/>
                <w:u w:val="none"/>
                <w:lang w:val="en-US" w:eastAsia="zh-CN" w:bidi="ar"/>
              </w:rPr>
              <w:t>钢混</w:t>
            </w: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kern w:val="0"/>
                <w:sz w:val="21"/>
                <w:szCs w:val="21"/>
              </w:rPr>
              <w:t>1</w:t>
            </w:r>
            <w:r>
              <w:rPr>
                <w:rFonts w:hint="eastAsia" w:cs="宋体" w:asciiTheme="minorEastAsia" w:hAnsiTheme="minorEastAsia" w:eastAsiaTheme="minorEastAsia"/>
                <w:color w:val="auto"/>
                <w:kern w:val="0"/>
                <w:sz w:val="21"/>
                <w:szCs w:val="21"/>
                <w:lang w:val="en-US" w:eastAsia="zh-CN"/>
              </w:rPr>
              <w:t>-2</w:t>
            </w:r>
            <w:r>
              <w:rPr>
                <w:rFonts w:hint="eastAsia" w:cs="宋体" w:asciiTheme="minorEastAsia" w:hAnsiTheme="minorEastAsia" w:eastAsiaTheme="minorEastAsia"/>
                <w:color w:val="auto"/>
                <w:kern w:val="0"/>
                <w:sz w:val="21"/>
                <w:szCs w:val="21"/>
              </w:rPr>
              <w:t>/</w:t>
            </w:r>
            <w:r>
              <w:rPr>
                <w:rFonts w:hint="eastAsia" w:cs="宋体" w:asciiTheme="minorEastAsia" w:hAnsiTheme="minorEastAsia" w:eastAsiaTheme="minorEastAsia"/>
                <w:color w:val="auto"/>
                <w:kern w:val="0"/>
                <w:sz w:val="21"/>
                <w:szCs w:val="21"/>
                <w:lang w:val="en-US" w:eastAsia="zh-CN"/>
              </w:rPr>
              <w:t>2</w:t>
            </w:r>
            <w:r>
              <w:rPr>
                <w:rFonts w:hint="eastAsia" w:cs="宋体" w:asciiTheme="minorEastAsia" w:hAnsiTheme="minorEastAsia" w:eastAsiaTheme="minorEastAsia"/>
                <w:color w:val="auto"/>
                <w:kern w:val="0"/>
                <w:sz w:val="21"/>
                <w:szCs w:val="21"/>
              </w:rPr>
              <w:t>F</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ascii="宋体" w:hAnsi="宋体" w:eastAsia="宋体" w:cs="宋体"/>
                <w:i w:val="0"/>
                <w:iCs w:val="0"/>
                <w:color w:val="000000"/>
                <w:spacing w:val="10"/>
                <w:kern w:val="0"/>
                <w:sz w:val="22"/>
                <w:szCs w:val="22"/>
                <w:u w:val="none"/>
                <w:lang w:val="en-US" w:eastAsia="zh-CN" w:bidi="ar"/>
              </w:rPr>
              <w:t>工业</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ascii="宋体" w:hAnsi="宋体" w:eastAsia="宋体" w:cs="宋体"/>
                <w:i w:val="0"/>
                <w:iCs w:val="0"/>
                <w:color w:val="000000"/>
                <w:spacing w:val="10"/>
                <w:kern w:val="0"/>
                <w:sz w:val="22"/>
                <w:szCs w:val="22"/>
                <w:u w:val="none"/>
                <w:lang w:val="en-US" w:eastAsia="zh-CN" w:bidi="ar"/>
              </w:rPr>
              <w:t>200</w:t>
            </w:r>
            <w:r>
              <w:rPr>
                <w:rFonts w:hint="eastAsia" w:ascii="宋体" w:hAnsi="宋体" w:cs="宋体"/>
                <w:i w:val="0"/>
                <w:iCs w:val="0"/>
                <w:color w:val="000000"/>
                <w:spacing w:val="10"/>
                <w:kern w:val="0"/>
                <w:sz w:val="22"/>
                <w:szCs w:val="22"/>
                <w:u w:val="none"/>
                <w:lang w:val="en-US" w:eastAsia="zh-CN" w:bidi="ar"/>
              </w:rPr>
              <w:t>8</w:t>
            </w:r>
            <w:r>
              <w:rPr>
                <w:rFonts w:hint="eastAsia" w:ascii="宋体" w:hAnsi="宋体" w:eastAsia="宋体" w:cs="宋体"/>
                <w:i w:val="0"/>
                <w:iCs w:val="0"/>
                <w:color w:val="000000"/>
                <w:spacing w:val="10"/>
                <w:kern w:val="0"/>
                <w:sz w:val="22"/>
                <w:szCs w:val="22"/>
                <w:u w:val="none"/>
                <w:lang w:val="en-US" w:eastAsia="zh-CN" w:bidi="ar"/>
              </w:rPr>
              <w:t>年</w:t>
            </w:r>
          </w:p>
        </w:tc>
      </w:tr>
      <w:tr>
        <w:tblPrEx>
          <w:tblCellMar>
            <w:top w:w="0" w:type="dxa"/>
            <w:left w:w="0" w:type="dxa"/>
            <w:bottom w:w="0" w:type="dxa"/>
            <w:right w:w="0" w:type="dxa"/>
          </w:tblCellMar>
        </w:tblPrEx>
        <w:trPr>
          <w:trHeight w:val="386" w:hRule="atLeast"/>
          <w:jc w:val="center"/>
        </w:trPr>
        <w:tc>
          <w:tcPr>
            <w:tcW w:w="119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1538.97</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eastAsia="zh-CN"/>
              </w:rPr>
              <w:t>房地权乡镇字第</w:t>
            </w:r>
            <w:r>
              <w:rPr>
                <w:rFonts w:hint="eastAsia" w:cs="宋体" w:asciiTheme="minorEastAsia" w:hAnsiTheme="minorEastAsia" w:eastAsiaTheme="minorEastAsia"/>
                <w:color w:val="auto"/>
                <w:sz w:val="21"/>
                <w:szCs w:val="21"/>
                <w:lang w:val="en-US" w:eastAsia="zh-CN"/>
              </w:rPr>
              <w:t>456788号</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ascii="宋体" w:hAnsi="宋体" w:cs="宋体"/>
                <w:i w:val="0"/>
                <w:iCs w:val="0"/>
                <w:color w:val="000000"/>
                <w:spacing w:val="10"/>
                <w:kern w:val="0"/>
                <w:sz w:val="22"/>
                <w:szCs w:val="22"/>
                <w:u w:val="none"/>
                <w:lang w:val="en-US" w:eastAsia="zh-CN" w:bidi="ar"/>
              </w:rPr>
              <w:t>钢混</w:t>
            </w: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kern w:val="0"/>
                <w:sz w:val="21"/>
                <w:szCs w:val="21"/>
              </w:rPr>
              <w:t>1</w:t>
            </w:r>
            <w:r>
              <w:rPr>
                <w:rFonts w:hint="eastAsia" w:cs="宋体" w:asciiTheme="minorEastAsia" w:hAnsiTheme="minorEastAsia" w:eastAsiaTheme="minorEastAsia"/>
                <w:color w:val="auto"/>
                <w:kern w:val="0"/>
                <w:sz w:val="21"/>
                <w:szCs w:val="21"/>
                <w:lang w:val="en-US" w:eastAsia="zh-CN"/>
              </w:rPr>
              <w:t>-2</w:t>
            </w:r>
            <w:r>
              <w:rPr>
                <w:rFonts w:hint="eastAsia" w:cs="宋体" w:asciiTheme="minorEastAsia" w:hAnsiTheme="minorEastAsia" w:eastAsiaTheme="minorEastAsia"/>
                <w:color w:val="auto"/>
                <w:kern w:val="0"/>
                <w:sz w:val="21"/>
                <w:szCs w:val="21"/>
              </w:rPr>
              <w:t>/</w:t>
            </w:r>
            <w:r>
              <w:rPr>
                <w:rFonts w:hint="eastAsia" w:cs="宋体" w:asciiTheme="minorEastAsia" w:hAnsiTheme="minorEastAsia" w:eastAsiaTheme="minorEastAsia"/>
                <w:color w:val="auto"/>
                <w:kern w:val="0"/>
                <w:sz w:val="21"/>
                <w:szCs w:val="21"/>
                <w:lang w:val="en-US" w:eastAsia="zh-CN"/>
              </w:rPr>
              <w:t>2</w:t>
            </w:r>
            <w:r>
              <w:rPr>
                <w:rFonts w:hint="eastAsia" w:cs="宋体" w:asciiTheme="minorEastAsia" w:hAnsiTheme="minorEastAsia" w:eastAsiaTheme="minorEastAsia"/>
                <w:color w:val="auto"/>
                <w:kern w:val="0"/>
                <w:sz w:val="21"/>
                <w:szCs w:val="21"/>
              </w:rPr>
              <w:t>F</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ascii="宋体" w:hAnsi="宋体" w:eastAsia="宋体" w:cs="宋体"/>
                <w:i w:val="0"/>
                <w:iCs w:val="0"/>
                <w:color w:val="000000"/>
                <w:spacing w:val="10"/>
                <w:kern w:val="0"/>
                <w:sz w:val="22"/>
                <w:szCs w:val="22"/>
                <w:u w:val="none"/>
                <w:lang w:val="en-US" w:eastAsia="zh-CN" w:bidi="ar"/>
              </w:rPr>
              <w:t>工业</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ascii="宋体" w:hAnsi="宋体" w:eastAsia="宋体" w:cs="宋体"/>
                <w:i w:val="0"/>
                <w:iCs w:val="0"/>
                <w:color w:val="000000"/>
                <w:spacing w:val="10"/>
                <w:kern w:val="0"/>
                <w:sz w:val="22"/>
                <w:szCs w:val="22"/>
                <w:u w:val="none"/>
                <w:lang w:val="en-US" w:eastAsia="zh-CN" w:bidi="ar"/>
              </w:rPr>
              <w:t>200</w:t>
            </w:r>
            <w:r>
              <w:rPr>
                <w:rFonts w:hint="eastAsia" w:ascii="宋体" w:hAnsi="宋体" w:cs="宋体"/>
                <w:i w:val="0"/>
                <w:iCs w:val="0"/>
                <w:color w:val="000000"/>
                <w:spacing w:val="10"/>
                <w:kern w:val="0"/>
                <w:sz w:val="22"/>
                <w:szCs w:val="22"/>
                <w:u w:val="none"/>
                <w:lang w:val="en-US" w:eastAsia="zh-CN" w:bidi="ar"/>
              </w:rPr>
              <w:t>8</w:t>
            </w:r>
            <w:r>
              <w:rPr>
                <w:rFonts w:hint="eastAsia" w:ascii="宋体" w:hAnsi="宋体" w:eastAsia="宋体" w:cs="宋体"/>
                <w:i w:val="0"/>
                <w:iCs w:val="0"/>
                <w:color w:val="000000"/>
                <w:spacing w:val="10"/>
                <w:kern w:val="0"/>
                <w:sz w:val="22"/>
                <w:szCs w:val="22"/>
                <w:u w:val="none"/>
                <w:lang w:val="en-US" w:eastAsia="zh-CN" w:bidi="ar"/>
              </w:rPr>
              <w:t>年</w:t>
            </w:r>
          </w:p>
        </w:tc>
      </w:tr>
      <w:tr>
        <w:tblPrEx>
          <w:tblCellMar>
            <w:top w:w="0" w:type="dxa"/>
            <w:left w:w="0" w:type="dxa"/>
            <w:bottom w:w="0" w:type="dxa"/>
            <w:right w:w="0" w:type="dxa"/>
          </w:tblCellMar>
        </w:tblPrEx>
        <w:trPr>
          <w:trHeight w:val="386" w:hRule="atLeast"/>
          <w:jc w:val="center"/>
        </w:trPr>
        <w:tc>
          <w:tcPr>
            <w:tcW w:w="119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1538.97</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eastAsia="zh-CN"/>
              </w:rPr>
              <w:t>房地权乡镇字第</w:t>
            </w:r>
            <w:r>
              <w:rPr>
                <w:rFonts w:hint="eastAsia" w:cs="宋体" w:asciiTheme="minorEastAsia" w:hAnsiTheme="minorEastAsia" w:eastAsiaTheme="minorEastAsia"/>
                <w:color w:val="auto"/>
                <w:sz w:val="21"/>
                <w:szCs w:val="21"/>
                <w:lang w:val="en-US" w:eastAsia="zh-CN"/>
              </w:rPr>
              <w:t>456789号</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ascii="宋体" w:hAnsi="宋体" w:cs="宋体"/>
                <w:i w:val="0"/>
                <w:iCs w:val="0"/>
                <w:color w:val="000000"/>
                <w:spacing w:val="10"/>
                <w:kern w:val="0"/>
                <w:sz w:val="22"/>
                <w:szCs w:val="22"/>
                <w:u w:val="none"/>
                <w:lang w:val="en-US" w:eastAsia="zh-CN" w:bidi="ar"/>
              </w:rPr>
              <w:t>钢混</w:t>
            </w: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kern w:val="0"/>
                <w:sz w:val="21"/>
                <w:szCs w:val="21"/>
              </w:rPr>
              <w:t>1</w:t>
            </w:r>
            <w:r>
              <w:rPr>
                <w:rFonts w:hint="eastAsia" w:cs="宋体" w:asciiTheme="minorEastAsia" w:hAnsiTheme="minorEastAsia" w:eastAsiaTheme="minorEastAsia"/>
                <w:color w:val="auto"/>
                <w:kern w:val="0"/>
                <w:sz w:val="21"/>
                <w:szCs w:val="21"/>
                <w:lang w:val="en-US" w:eastAsia="zh-CN"/>
              </w:rPr>
              <w:t>-2</w:t>
            </w:r>
            <w:r>
              <w:rPr>
                <w:rFonts w:hint="eastAsia" w:cs="宋体" w:asciiTheme="minorEastAsia" w:hAnsiTheme="minorEastAsia" w:eastAsiaTheme="minorEastAsia"/>
                <w:color w:val="auto"/>
                <w:kern w:val="0"/>
                <w:sz w:val="21"/>
                <w:szCs w:val="21"/>
              </w:rPr>
              <w:t>/</w:t>
            </w:r>
            <w:r>
              <w:rPr>
                <w:rFonts w:hint="eastAsia" w:cs="宋体" w:asciiTheme="minorEastAsia" w:hAnsiTheme="minorEastAsia" w:eastAsiaTheme="minorEastAsia"/>
                <w:color w:val="auto"/>
                <w:kern w:val="0"/>
                <w:sz w:val="21"/>
                <w:szCs w:val="21"/>
                <w:lang w:val="en-US" w:eastAsia="zh-CN"/>
              </w:rPr>
              <w:t>2</w:t>
            </w:r>
            <w:r>
              <w:rPr>
                <w:rFonts w:hint="eastAsia" w:cs="宋体" w:asciiTheme="minorEastAsia" w:hAnsiTheme="minorEastAsia" w:eastAsiaTheme="minorEastAsia"/>
                <w:color w:val="auto"/>
                <w:kern w:val="0"/>
                <w:sz w:val="21"/>
                <w:szCs w:val="21"/>
              </w:rPr>
              <w:t>F</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ascii="宋体" w:hAnsi="宋体" w:eastAsia="宋体" w:cs="宋体"/>
                <w:i w:val="0"/>
                <w:iCs w:val="0"/>
                <w:color w:val="000000"/>
                <w:spacing w:val="10"/>
                <w:kern w:val="0"/>
                <w:sz w:val="22"/>
                <w:szCs w:val="22"/>
                <w:u w:val="none"/>
                <w:lang w:val="en-US" w:eastAsia="zh-CN" w:bidi="ar"/>
              </w:rPr>
              <w:t>工业</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ascii="宋体" w:hAnsi="宋体" w:eastAsia="宋体" w:cs="宋体"/>
                <w:i w:val="0"/>
                <w:iCs w:val="0"/>
                <w:color w:val="000000"/>
                <w:spacing w:val="10"/>
                <w:kern w:val="0"/>
                <w:sz w:val="22"/>
                <w:szCs w:val="22"/>
                <w:u w:val="none"/>
                <w:lang w:val="en-US" w:eastAsia="zh-CN" w:bidi="ar"/>
              </w:rPr>
              <w:t>200</w:t>
            </w:r>
            <w:r>
              <w:rPr>
                <w:rFonts w:hint="eastAsia" w:ascii="宋体" w:hAnsi="宋体" w:cs="宋体"/>
                <w:i w:val="0"/>
                <w:iCs w:val="0"/>
                <w:color w:val="000000"/>
                <w:spacing w:val="10"/>
                <w:kern w:val="0"/>
                <w:sz w:val="22"/>
                <w:szCs w:val="22"/>
                <w:u w:val="none"/>
                <w:lang w:val="en-US" w:eastAsia="zh-CN" w:bidi="ar"/>
              </w:rPr>
              <w:t>8</w:t>
            </w:r>
            <w:r>
              <w:rPr>
                <w:rFonts w:hint="eastAsia" w:ascii="宋体" w:hAnsi="宋体" w:eastAsia="宋体" w:cs="宋体"/>
                <w:i w:val="0"/>
                <w:iCs w:val="0"/>
                <w:color w:val="000000"/>
                <w:spacing w:val="10"/>
                <w:kern w:val="0"/>
                <w:sz w:val="22"/>
                <w:szCs w:val="22"/>
                <w:u w:val="none"/>
                <w:lang w:val="en-US" w:eastAsia="zh-CN" w:bidi="ar"/>
              </w:rPr>
              <w:t>年</w:t>
            </w:r>
          </w:p>
        </w:tc>
      </w:tr>
      <w:tr>
        <w:tblPrEx>
          <w:tblCellMar>
            <w:top w:w="0" w:type="dxa"/>
            <w:left w:w="0" w:type="dxa"/>
            <w:bottom w:w="0" w:type="dxa"/>
            <w:right w:w="0" w:type="dxa"/>
          </w:tblCellMar>
        </w:tblPrEx>
        <w:trPr>
          <w:trHeight w:val="540" w:hRule="atLeast"/>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kern w:val="0"/>
                <w:sz w:val="21"/>
                <w:szCs w:val="21"/>
              </w:rPr>
              <w:t>合计</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spacing w:line="400" w:lineRule="exact"/>
              <w:jc w:val="center"/>
              <w:rPr>
                <w:rFonts w:cs="宋体" w:asciiTheme="minorEastAsia" w:hAnsiTheme="minorEastAsia" w:eastAsiaTheme="minorEastAsia"/>
                <w:color w:val="auto"/>
                <w:sz w:val="21"/>
                <w:szCs w:val="21"/>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spacing w:line="400" w:lineRule="exact"/>
              <w:jc w:val="center"/>
              <w:rPr>
                <w:rFonts w:hint="eastAsia" w:cs="宋体" w:asciiTheme="minorEastAsia" w:hAnsiTheme="minorEastAsia" w:eastAsiaTheme="minorEastAsia"/>
                <w:color w:val="auto"/>
                <w:sz w:val="21"/>
                <w:szCs w:val="21"/>
                <w:lang w:eastAsia="zh-CN"/>
              </w:rPr>
            </w:pPr>
            <w:r>
              <w:rPr>
                <w:rFonts w:hint="eastAsia" w:cs="宋体" w:asciiTheme="minorEastAsia" w:hAnsiTheme="minorEastAsia" w:eastAsiaTheme="minorEastAsia"/>
                <w:color w:val="auto"/>
                <w:sz w:val="21"/>
                <w:szCs w:val="21"/>
                <w:lang w:val="en-US" w:eastAsia="zh-CN"/>
              </w:rPr>
              <w:t>7772.95</w:t>
            </w:r>
          </w:p>
        </w:tc>
        <w:tc>
          <w:tcPr>
            <w:tcW w:w="13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spacing w:line="400" w:lineRule="exact"/>
              <w:jc w:val="center"/>
              <w:rPr>
                <w:rFonts w:hint="eastAsia" w:cs="宋体" w:asciiTheme="minorEastAsia" w:hAnsiTheme="minorEastAsia" w:eastAsiaTheme="minorEastAsia"/>
                <w:color w:val="auto"/>
                <w:sz w:val="21"/>
                <w:szCs w:val="21"/>
                <w:lang w:val="en-US" w:eastAsia="zh-CN"/>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spacing w:line="400" w:lineRule="exact"/>
              <w:jc w:val="center"/>
              <w:rPr>
                <w:rFonts w:cs="宋体" w:asciiTheme="minorEastAsia" w:hAnsiTheme="minorEastAsia" w:eastAsiaTheme="minorEastAsia"/>
                <w:color w:val="auto"/>
                <w:sz w:val="21"/>
                <w:szCs w:val="21"/>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spacing w:line="400" w:lineRule="exact"/>
              <w:jc w:val="center"/>
              <w:rPr>
                <w:rFonts w:cs="宋体" w:asciiTheme="minorEastAsia" w:hAnsiTheme="minorEastAsia" w:eastAsiaTheme="minorEastAsia"/>
                <w:color w:val="auto"/>
                <w:sz w:val="21"/>
                <w:szCs w:val="21"/>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spacing w:line="400" w:lineRule="exact"/>
              <w:jc w:val="center"/>
              <w:rPr>
                <w:rFonts w:cs="宋体" w:asciiTheme="minorEastAsia" w:hAnsiTheme="minorEastAsia" w:eastAsiaTheme="minorEastAsia"/>
                <w:color w:val="auto"/>
                <w:sz w:val="21"/>
                <w:szCs w:val="21"/>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spacing w:line="400" w:lineRule="exact"/>
              <w:jc w:val="center"/>
              <w:rPr>
                <w:rFonts w:cs="宋体" w:asciiTheme="minorEastAsia" w:hAnsiTheme="minorEastAsia" w:eastAsiaTheme="minorEastAsia"/>
                <w:color w:val="auto"/>
                <w:sz w:val="21"/>
                <w:szCs w:val="21"/>
              </w:rPr>
            </w:pPr>
          </w:p>
        </w:tc>
      </w:tr>
    </w:tbl>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olor w:val="auto"/>
          <w:spacing w:val="0"/>
        </w:rPr>
      </w:pPr>
    </w:p>
    <w:tbl>
      <w:tblPr>
        <w:tblStyle w:val="18"/>
        <w:tblW w:w="9280" w:type="dxa"/>
        <w:jc w:val="center"/>
        <w:tblLayout w:type="fixed"/>
        <w:tblCellMar>
          <w:top w:w="0" w:type="dxa"/>
          <w:left w:w="0" w:type="dxa"/>
          <w:bottom w:w="0" w:type="dxa"/>
          <w:right w:w="0" w:type="dxa"/>
        </w:tblCellMar>
      </w:tblPr>
      <w:tblGrid>
        <w:gridCol w:w="1868"/>
        <w:gridCol w:w="1340"/>
        <w:gridCol w:w="1370"/>
        <w:gridCol w:w="1175"/>
        <w:gridCol w:w="1109"/>
        <w:gridCol w:w="2418"/>
      </w:tblGrid>
      <w:tr>
        <w:tblPrEx>
          <w:tblCellMar>
            <w:top w:w="0" w:type="dxa"/>
            <w:left w:w="0" w:type="dxa"/>
            <w:bottom w:w="0" w:type="dxa"/>
            <w:right w:w="0" w:type="dxa"/>
          </w:tblCellMar>
        </w:tblPrEx>
        <w:trPr>
          <w:trHeight w:val="492" w:hRule="atLeast"/>
          <w:jc w:val="center"/>
        </w:trPr>
        <w:tc>
          <w:tcPr>
            <w:tcW w:w="928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b/>
                <w:bCs/>
                <w:color w:val="auto"/>
                <w:kern w:val="0"/>
                <w:sz w:val="21"/>
                <w:szCs w:val="21"/>
              </w:rPr>
            </w:pPr>
            <w:r>
              <w:rPr>
                <w:rFonts w:hint="eastAsia" w:cs="宋体" w:asciiTheme="minorEastAsia" w:hAnsiTheme="minorEastAsia" w:eastAsiaTheme="minorEastAsia"/>
                <w:b/>
                <w:bCs/>
                <w:color w:val="auto"/>
                <w:kern w:val="0"/>
                <w:sz w:val="21"/>
                <w:szCs w:val="21"/>
                <w:lang w:eastAsia="zh-CN"/>
              </w:rPr>
              <w:t>估价对象未办理产权登记建筑物权益状况一览表</w:t>
            </w:r>
          </w:p>
        </w:tc>
      </w:tr>
      <w:tr>
        <w:tblPrEx>
          <w:tblCellMar>
            <w:top w:w="0" w:type="dxa"/>
            <w:left w:w="0" w:type="dxa"/>
            <w:bottom w:w="0" w:type="dxa"/>
            <w:right w:w="0" w:type="dxa"/>
          </w:tblCellMar>
        </w:tblPrEx>
        <w:trPr>
          <w:trHeight w:val="492" w:hRule="atLeast"/>
          <w:jc w:val="center"/>
        </w:trPr>
        <w:tc>
          <w:tcPr>
            <w:tcW w:w="186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cs="宋体" w:asciiTheme="minorEastAsia" w:hAnsiTheme="minorEastAsia" w:eastAsiaTheme="minorEastAsia"/>
                <w:b/>
                <w:bCs/>
                <w:color w:val="auto"/>
                <w:sz w:val="21"/>
                <w:szCs w:val="21"/>
                <w:lang w:eastAsia="zh-CN"/>
              </w:rPr>
            </w:pPr>
            <w:r>
              <w:rPr>
                <w:rFonts w:hint="eastAsia" w:cs="宋体" w:asciiTheme="minorEastAsia" w:hAnsiTheme="minorEastAsia" w:eastAsiaTheme="minorEastAsia"/>
                <w:b/>
                <w:bCs/>
                <w:color w:val="auto"/>
                <w:kern w:val="0"/>
                <w:sz w:val="21"/>
                <w:szCs w:val="21"/>
                <w:lang w:eastAsia="zh-CN"/>
              </w:rPr>
              <w:t>资产占有人</w:t>
            </w:r>
          </w:p>
        </w:tc>
        <w:tc>
          <w:tcPr>
            <w:tcW w:w="134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名称</w:t>
            </w:r>
          </w:p>
        </w:tc>
        <w:tc>
          <w:tcPr>
            <w:tcW w:w="137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面积（m</w:t>
            </w:r>
            <w:r>
              <w:rPr>
                <w:rStyle w:val="50"/>
                <w:rFonts w:hint="default" w:asciiTheme="minorEastAsia" w:hAnsiTheme="minorEastAsia" w:eastAsiaTheme="minorEastAsia"/>
                <w:b/>
                <w:bCs/>
                <w:color w:val="auto"/>
                <w:sz w:val="21"/>
                <w:szCs w:val="21"/>
              </w:rPr>
              <w:t>2</w:t>
            </w:r>
            <w:r>
              <w:rPr>
                <w:rStyle w:val="51"/>
                <w:rFonts w:hint="default" w:asciiTheme="minorEastAsia" w:hAnsiTheme="minorEastAsia" w:eastAsiaTheme="minorEastAsia"/>
                <w:b/>
                <w:bCs/>
                <w:color w:val="auto"/>
                <w:sz w:val="21"/>
                <w:szCs w:val="21"/>
              </w:rPr>
              <w:t>）</w:t>
            </w:r>
          </w:p>
        </w:tc>
        <w:tc>
          <w:tcPr>
            <w:tcW w:w="11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结构</w:t>
            </w:r>
          </w:p>
        </w:tc>
        <w:tc>
          <w:tcPr>
            <w:tcW w:w="1109"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层数</w:t>
            </w:r>
          </w:p>
        </w:tc>
        <w:tc>
          <w:tcPr>
            <w:tcW w:w="2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b/>
                <w:bCs/>
                <w:color w:val="auto"/>
                <w:sz w:val="21"/>
                <w:szCs w:val="21"/>
              </w:rPr>
            </w:pPr>
            <w:r>
              <w:rPr>
                <w:rFonts w:hint="eastAsia" w:cs="宋体" w:asciiTheme="minorEastAsia" w:hAnsiTheme="minorEastAsia" w:eastAsiaTheme="minorEastAsia"/>
                <w:b/>
                <w:bCs/>
                <w:color w:val="auto"/>
                <w:kern w:val="0"/>
                <w:sz w:val="21"/>
                <w:szCs w:val="21"/>
              </w:rPr>
              <w:t>建成年代</w:t>
            </w:r>
          </w:p>
        </w:tc>
      </w:tr>
      <w:tr>
        <w:tblPrEx>
          <w:tblCellMar>
            <w:top w:w="0" w:type="dxa"/>
            <w:left w:w="0" w:type="dxa"/>
            <w:bottom w:w="0" w:type="dxa"/>
            <w:right w:w="0" w:type="dxa"/>
          </w:tblCellMar>
        </w:tblPrEx>
        <w:trPr>
          <w:trHeight w:val="386" w:hRule="atLeast"/>
          <w:jc w:val="center"/>
        </w:trPr>
        <w:tc>
          <w:tcPr>
            <w:tcW w:w="1868"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kern w:val="0"/>
                <w:sz w:val="21"/>
                <w:szCs w:val="21"/>
                <w:lang w:eastAsia="zh-CN"/>
              </w:rPr>
              <w:t>六安颇美特建设机械有限公司</w:t>
            </w:r>
          </w:p>
        </w:tc>
        <w:tc>
          <w:tcPr>
            <w:tcW w:w="134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钢结构厂房</w:t>
            </w:r>
          </w:p>
        </w:tc>
        <w:tc>
          <w:tcPr>
            <w:tcW w:w="137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default"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sz w:val="21"/>
                <w:szCs w:val="21"/>
                <w:lang w:val="en-US" w:eastAsia="zh-CN"/>
              </w:rPr>
              <w:t>960</w:t>
            </w:r>
          </w:p>
        </w:tc>
        <w:tc>
          <w:tcPr>
            <w:tcW w:w="117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ascii="宋体" w:hAnsi="宋体" w:cs="宋体"/>
                <w:i w:val="0"/>
                <w:iCs w:val="0"/>
                <w:color w:val="000000"/>
                <w:spacing w:val="10"/>
                <w:kern w:val="0"/>
                <w:sz w:val="22"/>
                <w:szCs w:val="22"/>
                <w:u w:val="none"/>
                <w:lang w:val="en-US" w:eastAsia="zh-CN" w:bidi="ar"/>
              </w:rPr>
              <w:t>钢结构</w:t>
            </w:r>
          </w:p>
        </w:tc>
        <w:tc>
          <w:tcPr>
            <w:tcW w:w="1109"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widowControl/>
              <w:shd w:val="clear"/>
              <w:spacing w:line="400" w:lineRule="exact"/>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cs="宋体" w:asciiTheme="minorEastAsia" w:hAnsiTheme="minorEastAsia" w:eastAsiaTheme="minorEastAsia"/>
                <w:color w:val="auto"/>
                <w:kern w:val="0"/>
                <w:sz w:val="21"/>
                <w:szCs w:val="21"/>
              </w:rPr>
              <w:t>1/</w:t>
            </w:r>
            <w:r>
              <w:rPr>
                <w:rFonts w:hint="eastAsia" w:cs="宋体" w:asciiTheme="minorEastAsia" w:hAnsiTheme="minorEastAsia" w:eastAsiaTheme="minorEastAsia"/>
                <w:color w:val="auto"/>
                <w:kern w:val="0"/>
                <w:sz w:val="21"/>
                <w:szCs w:val="21"/>
                <w:lang w:val="en-US" w:eastAsia="zh-CN"/>
              </w:rPr>
              <w:t>1</w:t>
            </w:r>
            <w:r>
              <w:rPr>
                <w:rFonts w:hint="eastAsia" w:cs="宋体" w:asciiTheme="minorEastAsia" w:hAnsiTheme="minorEastAsia" w:eastAsiaTheme="minorEastAsia"/>
                <w:color w:val="auto"/>
                <w:kern w:val="0"/>
                <w:sz w:val="21"/>
                <w:szCs w:val="21"/>
              </w:rPr>
              <w:t>F</w:t>
            </w:r>
          </w:p>
        </w:tc>
        <w:tc>
          <w:tcPr>
            <w:tcW w:w="2418"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10"/>
                <w:kern w:val="0"/>
                <w:sz w:val="22"/>
                <w:szCs w:val="22"/>
                <w:u w:val="none"/>
                <w:lang w:val="en-US" w:eastAsia="zh-CN" w:bidi="ar"/>
              </w:rPr>
            </w:pPr>
            <w:r>
              <w:rPr>
                <w:rFonts w:hint="eastAsia" w:ascii="宋体" w:hAnsi="宋体" w:eastAsia="宋体" w:cs="宋体"/>
                <w:i w:val="0"/>
                <w:iCs w:val="0"/>
                <w:color w:val="000000"/>
                <w:spacing w:val="10"/>
                <w:kern w:val="0"/>
                <w:sz w:val="22"/>
                <w:szCs w:val="22"/>
                <w:u w:val="none"/>
                <w:lang w:val="en-US" w:eastAsia="zh-CN" w:bidi="ar"/>
              </w:rPr>
              <w:t>200</w:t>
            </w:r>
            <w:r>
              <w:rPr>
                <w:rFonts w:hint="eastAsia" w:ascii="宋体" w:hAnsi="宋体" w:cs="宋体"/>
                <w:i w:val="0"/>
                <w:iCs w:val="0"/>
                <w:color w:val="000000"/>
                <w:spacing w:val="10"/>
                <w:kern w:val="0"/>
                <w:sz w:val="22"/>
                <w:szCs w:val="22"/>
                <w:u w:val="none"/>
                <w:lang w:val="en-US" w:eastAsia="zh-CN" w:bidi="ar"/>
              </w:rPr>
              <w:t>8</w:t>
            </w:r>
            <w:r>
              <w:rPr>
                <w:rFonts w:hint="eastAsia" w:ascii="宋体" w:hAnsi="宋体" w:eastAsia="宋体" w:cs="宋体"/>
                <w:i w:val="0"/>
                <w:iCs w:val="0"/>
                <w:color w:val="000000"/>
                <w:spacing w:val="10"/>
                <w:kern w:val="0"/>
                <w:sz w:val="22"/>
                <w:szCs w:val="22"/>
                <w:u w:val="none"/>
                <w:lang w:val="en-US" w:eastAsia="zh-CN" w:bidi="ar"/>
              </w:rPr>
              <w:t>年</w:t>
            </w:r>
          </w:p>
        </w:tc>
      </w:tr>
    </w:tbl>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olor w:val="auto"/>
          <w:spacing w:val="0"/>
          <w:szCs w:val="24"/>
          <w:lang w:eastAsia="zh-CN"/>
        </w:rPr>
      </w:pPr>
      <w:r>
        <w:rPr>
          <w:rFonts w:hint="eastAsia" w:asciiTheme="minorEastAsia" w:hAnsiTheme="minorEastAsia" w:eastAsiaTheme="minorEastAsia"/>
          <w:color w:val="auto"/>
          <w:spacing w:val="0"/>
          <w:szCs w:val="24"/>
        </w:rPr>
        <w:t>3、附属物</w:t>
      </w:r>
      <w:r>
        <w:rPr>
          <w:rFonts w:hint="eastAsia" w:asciiTheme="minorEastAsia" w:hAnsiTheme="minorEastAsia" w:eastAsiaTheme="minorEastAsia"/>
          <w:color w:val="auto"/>
          <w:spacing w:val="0"/>
          <w:szCs w:val="24"/>
          <w:lang w:eastAsia="zh-CN"/>
        </w:rPr>
        <w:t>等权益状况</w:t>
      </w:r>
    </w:p>
    <w:p>
      <w:pPr>
        <w:shd w:val="clear"/>
        <w:tabs>
          <w:tab w:val="left" w:pos="1400"/>
        </w:tabs>
        <w:overflowPunct w:val="0"/>
        <w:topLinePunct/>
        <w:autoSpaceDE w:val="0"/>
        <w:spacing w:line="520" w:lineRule="exact"/>
        <w:ind w:firstLine="480" w:firstLineChars="200"/>
        <w:rPr>
          <w:rFonts w:asciiTheme="minorEastAsia" w:hAnsiTheme="minorEastAsia" w:eastAsiaTheme="minorEastAsia"/>
          <w:color w:val="auto"/>
          <w:spacing w:val="0"/>
          <w:szCs w:val="24"/>
        </w:rPr>
      </w:pPr>
      <w:r>
        <w:rPr>
          <w:rFonts w:hint="eastAsia" w:cs="宋体" w:asciiTheme="minorEastAsia" w:hAnsiTheme="minorEastAsia" w:eastAsiaTheme="minorEastAsia"/>
          <w:color w:val="auto"/>
          <w:spacing w:val="0"/>
          <w:kern w:val="0"/>
          <w:szCs w:val="24"/>
        </w:rPr>
        <w:t>依据</w:t>
      </w:r>
      <w:r>
        <w:rPr>
          <w:rFonts w:hint="eastAsia" w:cs="宋体" w:asciiTheme="minorEastAsia" w:hAnsiTheme="minorEastAsia" w:eastAsiaTheme="minorEastAsia"/>
          <w:color w:val="auto"/>
          <w:spacing w:val="0"/>
          <w:kern w:val="0"/>
          <w:szCs w:val="24"/>
          <w:lang w:eastAsia="zh-CN"/>
        </w:rPr>
        <w:t>估价人员的现场调查并结合申请人介绍</w:t>
      </w:r>
      <w:r>
        <w:rPr>
          <w:rFonts w:hint="eastAsia" w:cs="宋体" w:asciiTheme="minorEastAsia" w:hAnsiTheme="minorEastAsia" w:eastAsiaTheme="minorEastAsia"/>
          <w:color w:val="auto"/>
          <w:spacing w:val="0"/>
          <w:kern w:val="0"/>
          <w:szCs w:val="24"/>
          <w:lang w:val="en-US" w:eastAsia="zh-CN"/>
        </w:rPr>
        <w:t>，</w:t>
      </w:r>
      <w:r>
        <w:rPr>
          <w:rFonts w:hint="eastAsia" w:cs="宋体" w:asciiTheme="minorEastAsia" w:hAnsiTheme="minorEastAsia" w:eastAsiaTheme="minorEastAsia"/>
          <w:color w:val="auto"/>
          <w:spacing w:val="0"/>
          <w:kern w:val="0"/>
          <w:szCs w:val="24"/>
        </w:rPr>
        <w:t>本次评估假设</w:t>
      </w:r>
      <w:r>
        <w:rPr>
          <w:rFonts w:hint="eastAsia" w:cs="宋体" w:asciiTheme="minorEastAsia" w:hAnsiTheme="minorEastAsia" w:eastAsiaTheme="minorEastAsia"/>
          <w:color w:val="auto"/>
          <w:spacing w:val="0"/>
          <w:kern w:val="0"/>
          <w:szCs w:val="24"/>
          <w:lang w:eastAsia="zh-CN"/>
        </w:rPr>
        <w:t>估价对象无证建筑物</w:t>
      </w:r>
      <w:r>
        <w:rPr>
          <w:rFonts w:hint="eastAsia" w:cs="宋体" w:asciiTheme="minorEastAsia" w:hAnsiTheme="minorEastAsia" w:eastAsiaTheme="minorEastAsia"/>
          <w:color w:val="auto"/>
          <w:spacing w:val="0"/>
          <w:kern w:val="0"/>
          <w:szCs w:val="24"/>
        </w:rPr>
        <w:t>建筑物、附属物</w:t>
      </w:r>
      <w:r>
        <w:rPr>
          <w:rFonts w:hint="eastAsia" w:cs="宋体" w:asciiTheme="minorEastAsia" w:hAnsiTheme="minorEastAsia" w:eastAsiaTheme="minorEastAsia"/>
          <w:color w:val="auto"/>
          <w:spacing w:val="0"/>
          <w:kern w:val="0"/>
          <w:szCs w:val="24"/>
          <w:lang w:eastAsia="zh-CN"/>
        </w:rPr>
        <w:t>、绿化苗木等资产占有人</w:t>
      </w:r>
      <w:r>
        <w:rPr>
          <w:rFonts w:hint="eastAsia" w:cs="宋体" w:asciiTheme="minorEastAsia" w:hAnsiTheme="minorEastAsia" w:eastAsiaTheme="minorEastAsia"/>
          <w:color w:val="auto"/>
          <w:spacing w:val="0"/>
          <w:kern w:val="0"/>
          <w:szCs w:val="24"/>
        </w:rPr>
        <w:t>为</w:t>
      </w:r>
      <w:r>
        <w:rPr>
          <w:rFonts w:hint="eastAsia" w:cs="宋体" w:asciiTheme="minorEastAsia" w:hAnsiTheme="minorEastAsia" w:eastAsiaTheme="minorEastAsia"/>
          <w:color w:val="auto"/>
          <w:spacing w:val="0"/>
          <w:kern w:val="0"/>
          <w:szCs w:val="24"/>
          <w:lang w:eastAsia="zh-CN"/>
        </w:rPr>
        <w:t>六安颇美特建设机械有限公司</w:t>
      </w:r>
      <w:r>
        <w:rPr>
          <w:rFonts w:hint="eastAsia" w:cs="宋体" w:asciiTheme="minorEastAsia" w:hAnsiTheme="minorEastAsia" w:eastAsiaTheme="minorEastAsia"/>
          <w:color w:val="auto"/>
          <w:spacing w:val="0"/>
          <w:kern w:val="0"/>
          <w:szCs w:val="24"/>
        </w:rPr>
        <w:t>。</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outlineLvl w:val="1"/>
        <w:rPr>
          <w:rFonts w:asciiTheme="minorEastAsia" w:hAnsiTheme="minorEastAsia" w:eastAsiaTheme="minorEastAsia"/>
          <w:color w:val="auto"/>
          <w:spacing w:val="0"/>
        </w:rPr>
      </w:pPr>
      <w:r>
        <w:rPr>
          <w:rFonts w:hint="eastAsia" w:asciiTheme="minorEastAsia" w:hAnsiTheme="minorEastAsia" w:eastAsiaTheme="minorEastAsia"/>
          <w:color w:val="auto"/>
          <w:spacing w:val="0"/>
        </w:rPr>
        <w:t>(三)区位状况</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outlineLvl w:val="1"/>
        <w:rPr>
          <w:rFonts w:asciiTheme="minorEastAsia" w:hAnsiTheme="minorEastAsia" w:eastAsiaTheme="minorEastAsia"/>
          <w:color w:val="auto"/>
          <w:spacing w:val="0"/>
        </w:rPr>
      </w:pPr>
      <w:r>
        <w:rPr>
          <w:rFonts w:hint="eastAsia" w:asciiTheme="minorEastAsia" w:hAnsiTheme="minorEastAsia" w:eastAsiaTheme="minorEastAsia"/>
          <w:color w:val="auto"/>
          <w:spacing w:val="0"/>
        </w:rPr>
        <w:t>区位状况包括估价对象所处的位置、交通条件、外部配套设施、周围环境和景观等。</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outlineLvl w:val="1"/>
        <w:rPr>
          <w:rFonts w:asciiTheme="minorEastAsia" w:hAnsiTheme="minorEastAsia" w:eastAsiaTheme="minorEastAsia"/>
          <w:color w:val="auto"/>
          <w:spacing w:val="0"/>
        </w:rPr>
      </w:pPr>
      <w:r>
        <w:rPr>
          <w:rFonts w:hint="eastAsia" w:asciiTheme="minorEastAsia" w:hAnsiTheme="minorEastAsia" w:eastAsiaTheme="minorEastAsia"/>
          <w:color w:val="auto"/>
          <w:spacing w:val="0"/>
        </w:rPr>
        <w:t>估价对象位于</w:t>
      </w:r>
      <w:r>
        <w:rPr>
          <w:rFonts w:hint="eastAsia" w:asciiTheme="minorEastAsia" w:hAnsiTheme="minorEastAsia" w:eastAsiaTheme="minorEastAsia"/>
          <w:color w:val="auto"/>
          <w:spacing w:val="0"/>
          <w:szCs w:val="22"/>
          <w:lang w:eastAsia="zh-CN"/>
        </w:rPr>
        <w:t>六安开发区经六路东侧</w:t>
      </w:r>
      <w:r>
        <w:rPr>
          <w:rFonts w:hint="eastAsia" w:asciiTheme="minorEastAsia" w:hAnsiTheme="minorEastAsia" w:eastAsiaTheme="minorEastAsia"/>
          <w:color w:val="auto"/>
          <w:spacing w:val="0"/>
        </w:rPr>
        <w:t>，附近有六安市宏建钢构有限公司、安徽明都电力线缆有限公司、安徽德森特种纸业有限公司、六安市永兴机械有限公司</w:t>
      </w:r>
      <w:r>
        <w:rPr>
          <w:rFonts w:asciiTheme="minorEastAsia" w:hAnsiTheme="minorEastAsia" w:eastAsiaTheme="minorEastAsia"/>
          <w:color w:val="auto"/>
          <w:spacing w:val="0"/>
        </w:rPr>
        <w:t>等</w:t>
      </w:r>
      <w:r>
        <w:rPr>
          <w:rFonts w:hint="eastAsia" w:asciiTheme="minorEastAsia" w:hAnsiTheme="minorEastAsia" w:eastAsiaTheme="minorEastAsia"/>
          <w:color w:val="auto"/>
          <w:spacing w:val="0"/>
          <w:lang w:eastAsia="zh-CN"/>
        </w:rPr>
        <w:t>众多</w:t>
      </w:r>
      <w:r>
        <w:rPr>
          <w:rFonts w:asciiTheme="minorEastAsia" w:hAnsiTheme="minorEastAsia" w:eastAsiaTheme="minorEastAsia"/>
          <w:color w:val="auto"/>
          <w:spacing w:val="0"/>
        </w:rPr>
        <w:t>工业企业</w:t>
      </w:r>
      <w:r>
        <w:rPr>
          <w:rFonts w:hint="eastAsia" w:asciiTheme="minorEastAsia" w:hAnsiTheme="minorEastAsia" w:eastAsiaTheme="minorEastAsia"/>
          <w:color w:val="auto"/>
          <w:spacing w:val="0"/>
        </w:rPr>
        <w:t>，工业聚集度高。</w:t>
      </w:r>
      <w:r>
        <w:rPr>
          <w:rFonts w:hint="eastAsia" w:asciiTheme="minorEastAsia" w:hAnsiTheme="minorEastAsia" w:eastAsiaTheme="minorEastAsia"/>
          <w:color w:val="auto"/>
          <w:spacing w:val="0"/>
          <w:lang w:eastAsia="zh-CN"/>
        </w:rPr>
        <w:t>皋城路</w:t>
      </w:r>
      <w:r>
        <w:rPr>
          <w:rFonts w:hint="eastAsia" w:ascii="新宋体" w:hAnsi="新宋体" w:eastAsia="新宋体" w:cs="新宋体"/>
          <w:color w:val="auto"/>
          <w:szCs w:val="24"/>
        </w:rPr>
        <w:t>在周围而过，对外交通较为便捷</w:t>
      </w:r>
      <w:r>
        <w:rPr>
          <w:rFonts w:hint="eastAsia" w:asciiTheme="minorEastAsia" w:hAnsiTheme="minorEastAsia" w:eastAsiaTheme="minorEastAsia"/>
          <w:color w:val="auto"/>
          <w:spacing w:val="0"/>
        </w:rPr>
        <w:t>；地势平坦，场地平整，基础设施达到</w:t>
      </w:r>
      <w:r>
        <w:rPr>
          <w:rFonts w:hint="eastAsia" w:asciiTheme="minorEastAsia" w:hAnsiTheme="minorEastAsia" w:eastAsiaTheme="minorEastAsia"/>
          <w:color w:val="auto"/>
          <w:spacing w:val="0"/>
          <w:lang w:eastAsia="zh-CN"/>
        </w:rPr>
        <w:t>六</w:t>
      </w:r>
      <w:r>
        <w:rPr>
          <w:rFonts w:hint="eastAsia" w:asciiTheme="minorEastAsia" w:hAnsiTheme="minorEastAsia" w:eastAsiaTheme="minorEastAsia"/>
          <w:color w:val="auto"/>
          <w:spacing w:val="0"/>
        </w:rPr>
        <w:t>通，基础配套设施较齐全。</w:t>
      </w:r>
    </w:p>
    <w:p>
      <w:pPr>
        <w:shd w:val="clear"/>
        <w:adjustRightInd w:val="0"/>
        <w:snapToGrid w:val="0"/>
        <w:spacing w:line="520" w:lineRule="exact"/>
        <w:rPr>
          <w:rFonts w:asciiTheme="minorEastAsia" w:hAnsiTheme="minorEastAsia" w:eastAsiaTheme="minorEastAsia"/>
          <w:b/>
          <w:color w:val="auto"/>
          <w:spacing w:val="0"/>
        </w:rPr>
      </w:pPr>
      <w:r>
        <w:rPr>
          <w:rFonts w:hint="eastAsia" w:asciiTheme="minorEastAsia" w:hAnsiTheme="minorEastAsia" w:eastAsiaTheme="minorEastAsia"/>
          <w:b/>
          <w:color w:val="auto"/>
          <w:spacing w:val="0"/>
        </w:rPr>
        <w:t>五、价值时点</w:t>
      </w:r>
    </w:p>
    <w:p>
      <w:pPr>
        <w:shd w:val="clear"/>
        <w:adjustRightInd w:val="0"/>
        <w:snapToGrid w:val="0"/>
        <w:spacing w:line="520" w:lineRule="exact"/>
        <w:ind w:firstLine="480" w:firstLineChars="200"/>
        <w:rPr>
          <w:rFonts w:hint="eastAsia" w:asciiTheme="minorEastAsia" w:hAnsiTheme="minorEastAsia" w:eastAsiaTheme="minorEastAsia"/>
          <w:b/>
          <w:color w:val="auto"/>
          <w:spacing w:val="0"/>
        </w:rPr>
      </w:pPr>
      <w:r>
        <w:rPr>
          <w:rFonts w:hint="eastAsia" w:asciiTheme="minorEastAsia" w:hAnsiTheme="minorEastAsia" w:eastAsiaTheme="minorEastAsia"/>
          <w:color w:val="auto"/>
          <w:spacing w:val="0"/>
          <w:lang w:eastAsia="zh-CN"/>
        </w:rPr>
        <w:t>2023年09月13日</w:t>
      </w:r>
      <w:r>
        <w:rPr>
          <w:rFonts w:hint="eastAsia" w:asciiTheme="minorEastAsia" w:hAnsiTheme="minorEastAsia" w:eastAsiaTheme="minorEastAsia"/>
          <w:color w:val="auto"/>
          <w:spacing w:val="0"/>
        </w:rPr>
        <w:t>（价值时点设定为估价对象现场查勘之日）</w:t>
      </w:r>
    </w:p>
    <w:p>
      <w:pPr>
        <w:shd w:val="clear"/>
        <w:adjustRightInd w:val="0"/>
        <w:snapToGrid w:val="0"/>
        <w:spacing w:line="520" w:lineRule="exact"/>
        <w:rPr>
          <w:rFonts w:asciiTheme="minorEastAsia" w:hAnsiTheme="minorEastAsia" w:eastAsiaTheme="minorEastAsia"/>
          <w:b/>
          <w:color w:val="auto"/>
          <w:spacing w:val="0"/>
        </w:rPr>
      </w:pPr>
      <w:r>
        <w:rPr>
          <w:rFonts w:hint="eastAsia" w:asciiTheme="minorEastAsia" w:hAnsiTheme="minorEastAsia" w:eastAsiaTheme="minorEastAsia"/>
          <w:b/>
          <w:color w:val="auto"/>
          <w:spacing w:val="0"/>
        </w:rPr>
        <w:t>六、价值类型</w:t>
      </w:r>
    </w:p>
    <w:p>
      <w:pPr>
        <w:pStyle w:val="6"/>
        <w:shd w:val="clear"/>
        <w:spacing w:line="520" w:lineRule="exact"/>
        <w:ind w:firstLine="480" w:firstLineChars="200"/>
        <w:rPr>
          <w:rFonts w:asciiTheme="minorEastAsia" w:hAnsiTheme="minorEastAsia" w:eastAsiaTheme="minorEastAsia" w:cstheme="minorBidi"/>
          <w:bCs/>
          <w:color w:val="auto"/>
          <w:spacing w:val="0"/>
          <w:szCs w:val="22"/>
        </w:rPr>
      </w:pPr>
      <w:r>
        <w:rPr>
          <w:rFonts w:hint="eastAsia" w:asciiTheme="minorEastAsia" w:hAnsiTheme="minorEastAsia" w:eastAsiaTheme="minorEastAsia" w:cstheme="minorBidi"/>
          <w:bCs/>
          <w:color w:val="auto"/>
          <w:spacing w:val="0"/>
          <w:szCs w:val="22"/>
        </w:rPr>
        <w:t>市场价值</w:t>
      </w:r>
      <w:bookmarkStart w:id="4" w:name="_Toc439253725"/>
      <w:r>
        <w:rPr>
          <w:rFonts w:hint="eastAsia" w:asciiTheme="minorEastAsia" w:hAnsiTheme="minorEastAsia" w:eastAsiaTheme="minorEastAsia" w:cstheme="minorBidi"/>
          <w:bCs/>
          <w:color w:val="auto"/>
          <w:spacing w:val="0"/>
          <w:szCs w:val="22"/>
        </w:rPr>
        <w:t>：房地产市场价值为估价对象经适当营销后，由熟悉情况、谨慎行事且不受强迫的交易双方，以公平交易方式在价值时点自愿进行交易的金额。</w:t>
      </w:r>
      <w:bookmarkEnd w:id="4"/>
    </w:p>
    <w:p>
      <w:pPr>
        <w:shd w:val="clear"/>
        <w:adjustRightInd w:val="0"/>
        <w:snapToGrid w:val="0"/>
        <w:spacing w:line="520" w:lineRule="exact"/>
        <w:ind w:firstLine="480" w:firstLineChars="200"/>
        <w:rPr>
          <w:rFonts w:hint="eastAsia" w:asciiTheme="minorEastAsia" w:hAnsiTheme="minorEastAsia" w:eastAsiaTheme="minorEastAsia"/>
          <w:b/>
          <w:color w:val="auto"/>
          <w:spacing w:val="0"/>
        </w:rPr>
      </w:pPr>
      <w:r>
        <w:rPr>
          <w:rFonts w:hint="eastAsia" w:asciiTheme="minorEastAsia" w:hAnsiTheme="minorEastAsia" w:eastAsiaTheme="minorEastAsia"/>
          <w:color w:val="auto"/>
          <w:spacing w:val="0"/>
        </w:rPr>
        <w:t>此次评估的估价对象房地产市场价值是基础设施在“</w:t>
      </w:r>
      <w:r>
        <w:rPr>
          <w:rFonts w:hint="eastAsia" w:asciiTheme="minorEastAsia" w:hAnsiTheme="minorEastAsia" w:eastAsiaTheme="minorEastAsia"/>
          <w:color w:val="auto"/>
          <w:spacing w:val="0"/>
          <w:lang w:eastAsia="zh-CN"/>
        </w:rPr>
        <w:t>六</w:t>
      </w:r>
      <w:r>
        <w:rPr>
          <w:rFonts w:hint="eastAsia" w:asciiTheme="minorEastAsia" w:hAnsiTheme="minorEastAsia" w:eastAsiaTheme="minorEastAsia"/>
          <w:color w:val="auto"/>
          <w:spacing w:val="0"/>
        </w:rPr>
        <w:t>通一平”状态下工业用途房地产于价值时点</w:t>
      </w:r>
      <w:r>
        <w:rPr>
          <w:rFonts w:hint="eastAsia" w:asciiTheme="minorEastAsia" w:hAnsiTheme="minorEastAsia" w:eastAsiaTheme="minorEastAsia"/>
          <w:color w:val="auto"/>
          <w:spacing w:val="0"/>
          <w:lang w:eastAsia="zh-CN"/>
        </w:rPr>
        <w:t>2023年09月13日</w:t>
      </w:r>
      <w:r>
        <w:rPr>
          <w:rFonts w:hint="eastAsia" w:asciiTheme="minorEastAsia" w:hAnsiTheme="minorEastAsia" w:eastAsiaTheme="minorEastAsia"/>
          <w:color w:val="auto"/>
          <w:spacing w:val="0"/>
        </w:rPr>
        <w:t>的市场价值。</w:t>
      </w:r>
    </w:p>
    <w:p>
      <w:pPr>
        <w:shd w:val="clear"/>
        <w:adjustRightInd w:val="0"/>
        <w:snapToGrid w:val="0"/>
        <w:spacing w:line="520" w:lineRule="exact"/>
        <w:rPr>
          <w:rFonts w:asciiTheme="minorEastAsia" w:hAnsiTheme="minorEastAsia" w:eastAsiaTheme="minorEastAsia"/>
          <w:b/>
          <w:color w:val="auto"/>
          <w:spacing w:val="0"/>
        </w:rPr>
      </w:pPr>
      <w:r>
        <w:rPr>
          <w:rFonts w:hint="eastAsia" w:asciiTheme="minorEastAsia" w:hAnsiTheme="minorEastAsia" w:eastAsiaTheme="minorEastAsia"/>
          <w:b/>
          <w:color w:val="auto"/>
          <w:spacing w:val="0"/>
        </w:rPr>
        <w:t>七、估价原则</w:t>
      </w:r>
    </w:p>
    <w:p>
      <w:pPr>
        <w:pStyle w:val="9"/>
        <w:shd w:val="clear"/>
        <w:snapToGrid w:val="0"/>
        <w:spacing w:line="520" w:lineRule="exact"/>
        <w:ind w:firstLine="480" w:firstLineChars="200"/>
        <w:rPr>
          <w:rFonts w:asciiTheme="minorEastAsia" w:hAnsiTheme="minorEastAsia"/>
          <w:bCs/>
          <w:color w:val="auto"/>
          <w:sz w:val="24"/>
        </w:rPr>
      </w:pPr>
      <w:r>
        <w:rPr>
          <w:rFonts w:hint="eastAsia" w:asciiTheme="minorEastAsia" w:hAnsiTheme="minorEastAsia"/>
          <w:bCs/>
          <w:color w:val="auto"/>
          <w:sz w:val="24"/>
        </w:rPr>
        <w:t>本估价报告在遵循客观、公正、科学、合理的基本原则下，结合估价目的对估价对象进行估价。具体依据如下估价原则：</w:t>
      </w:r>
    </w:p>
    <w:p>
      <w:pPr>
        <w:pStyle w:val="9"/>
        <w:shd w:val="clear"/>
        <w:snapToGrid w:val="0"/>
        <w:spacing w:line="520" w:lineRule="exact"/>
        <w:ind w:firstLine="480" w:firstLineChars="200"/>
        <w:rPr>
          <w:rFonts w:asciiTheme="minorEastAsia" w:hAnsiTheme="minorEastAsia"/>
          <w:bCs/>
          <w:color w:val="auto"/>
          <w:sz w:val="24"/>
        </w:rPr>
      </w:pPr>
      <w:r>
        <w:rPr>
          <w:rFonts w:hint="eastAsia" w:asciiTheme="minorEastAsia" w:hAnsiTheme="minorEastAsia"/>
          <w:bCs/>
          <w:color w:val="auto"/>
          <w:sz w:val="24"/>
        </w:rPr>
        <w:t>（一）独立、客观、公正原则</w:t>
      </w:r>
    </w:p>
    <w:p>
      <w:pPr>
        <w:pStyle w:val="9"/>
        <w:shd w:val="clear"/>
        <w:snapToGrid w:val="0"/>
        <w:spacing w:line="520" w:lineRule="exact"/>
        <w:ind w:firstLine="480" w:firstLineChars="200"/>
        <w:rPr>
          <w:rFonts w:asciiTheme="minorEastAsia" w:hAnsiTheme="minorEastAsia"/>
          <w:bCs/>
          <w:color w:val="auto"/>
          <w:sz w:val="24"/>
        </w:rPr>
      </w:pPr>
      <w:r>
        <w:rPr>
          <w:rFonts w:hint="eastAsia" w:asciiTheme="minorEastAsia" w:hAnsiTheme="minorEastAsia"/>
          <w:bCs/>
          <w:color w:val="auto"/>
          <w:sz w:val="24"/>
        </w:rPr>
        <w:t>独立、客观、公正原则是房地产估价的最高行为准则。独立原则要求估价机构本身应当是一个不依赖他人、不受他人束缚的独立机构；要求估价机构和估价人员于估价对象及相关当事人没有利害关系；要求估价机构和估价人员在估价中不应受外部因素的影响，不屈从于外部压力，完全凭借自己的专业知识、经验和良心进行估价。所谓客观，是要求估价机构和估价人员不带着自己的好恶、情感和偏见，完全从实际出发，按照事物的本来面目去估价。所谓公正，是要求估价机构和估价人员在估价中应公平、正直，不偏袒任何一方。因此，遵循独立、客观、公正原则的核心，是估价机构和估价人员应站在中立的立场上，评估出一个对各方当事人来说都是公平合理的价值。</w:t>
      </w:r>
    </w:p>
    <w:p>
      <w:pPr>
        <w:pStyle w:val="9"/>
        <w:shd w:val="clear"/>
        <w:snapToGrid w:val="0"/>
        <w:spacing w:line="520" w:lineRule="exact"/>
        <w:ind w:firstLine="480" w:firstLineChars="200"/>
        <w:rPr>
          <w:rFonts w:asciiTheme="minorEastAsia" w:hAnsiTheme="minorEastAsia"/>
          <w:bCs/>
          <w:color w:val="auto"/>
          <w:sz w:val="24"/>
        </w:rPr>
      </w:pPr>
      <w:r>
        <w:rPr>
          <w:rFonts w:hint="eastAsia" w:asciiTheme="minorEastAsia" w:hAnsiTheme="minorEastAsia"/>
          <w:bCs/>
          <w:color w:val="auto"/>
          <w:sz w:val="24"/>
        </w:rPr>
        <w:t>（二）合法原则</w:t>
      </w:r>
    </w:p>
    <w:p>
      <w:pPr>
        <w:pStyle w:val="9"/>
        <w:shd w:val="clear"/>
        <w:snapToGrid w:val="0"/>
        <w:spacing w:line="520" w:lineRule="exact"/>
        <w:ind w:firstLine="480" w:firstLineChars="200"/>
        <w:rPr>
          <w:rFonts w:asciiTheme="minorEastAsia" w:hAnsiTheme="minorEastAsia"/>
          <w:bCs/>
          <w:color w:val="auto"/>
          <w:sz w:val="24"/>
        </w:rPr>
      </w:pPr>
      <w:r>
        <w:rPr>
          <w:rFonts w:hint="eastAsia" w:asciiTheme="minorEastAsia" w:hAnsiTheme="minorEastAsia"/>
          <w:bCs/>
          <w:color w:val="auto"/>
          <w:sz w:val="24"/>
        </w:rPr>
        <w:t>房地产估价必须以估价对象的合法使用、合法交易、合法处分为前提进行。循序合法原则，第一、要求在估价时必须确认估价对象具有合法的产权；第二、要求在估价时所涉及的估价对象的用途必须是合法的；第三、估价中如果涉及估价对象的交易或处分方式时，该交易或处分必须是合法的。</w:t>
      </w:r>
    </w:p>
    <w:p>
      <w:pPr>
        <w:pStyle w:val="9"/>
        <w:shd w:val="clear"/>
        <w:snapToGrid w:val="0"/>
        <w:spacing w:line="520" w:lineRule="exact"/>
        <w:ind w:firstLine="480" w:firstLineChars="200"/>
        <w:rPr>
          <w:rFonts w:asciiTheme="minorEastAsia" w:hAnsiTheme="minorEastAsia"/>
          <w:bCs/>
          <w:color w:val="auto"/>
          <w:sz w:val="24"/>
        </w:rPr>
      </w:pPr>
      <w:r>
        <w:rPr>
          <w:rFonts w:hint="eastAsia" w:asciiTheme="minorEastAsia" w:hAnsiTheme="minorEastAsia"/>
          <w:bCs/>
          <w:color w:val="auto"/>
          <w:sz w:val="24"/>
        </w:rPr>
        <w:t>（三）价值时点原则</w:t>
      </w:r>
    </w:p>
    <w:p>
      <w:pPr>
        <w:pStyle w:val="9"/>
        <w:shd w:val="clear"/>
        <w:snapToGrid w:val="0"/>
        <w:spacing w:line="520" w:lineRule="exact"/>
        <w:ind w:firstLine="480" w:firstLineChars="200"/>
        <w:rPr>
          <w:rFonts w:asciiTheme="minorEastAsia" w:hAnsiTheme="minorEastAsia"/>
          <w:bCs/>
          <w:color w:val="auto"/>
          <w:sz w:val="24"/>
        </w:rPr>
      </w:pPr>
      <w:r>
        <w:rPr>
          <w:rFonts w:hint="eastAsia" w:asciiTheme="minorEastAsia" w:hAnsiTheme="minorEastAsia"/>
          <w:bCs/>
          <w:color w:val="auto"/>
          <w:sz w:val="24"/>
        </w:rPr>
        <w:t>价值时点原则要求房地产估价结果应是估价对象在价值时点时的客观合理的价格或价值。同一宗房地产在不同时点往往会有不同的价格，所以在评估一宗房地产价格时，必须假定市场情况停止在价值时点上，同时估价对象房地产的状况也是以其在该时点的状况为准。</w:t>
      </w:r>
    </w:p>
    <w:p>
      <w:pPr>
        <w:pStyle w:val="9"/>
        <w:shd w:val="clear"/>
        <w:snapToGrid w:val="0"/>
        <w:spacing w:line="520" w:lineRule="exact"/>
        <w:ind w:firstLine="480" w:firstLineChars="200"/>
        <w:rPr>
          <w:rFonts w:asciiTheme="minorEastAsia" w:hAnsiTheme="minorEastAsia"/>
          <w:bCs/>
          <w:color w:val="auto"/>
          <w:sz w:val="24"/>
        </w:rPr>
      </w:pPr>
      <w:r>
        <w:rPr>
          <w:rFonts w:hint="eastAsia" w:asciiTheme="minorEastAsia" w:hAnsiTheme="minorEastAsia"/>
          <w:bCs/>
          <w:color w:val="auto"/>
          <w:sz w:val="24"/>
        </w:rPr>
        <w:t>（四）替代原则</w:t>
      </w:r>
    </w:p>
    <w:p>
      <w:pPr>
        <w:pStyle w:val="9"/>
        <w:keepNext w:val="0"/>
        <w:keepLines w:val="0"/>
        <w:pageBreakBefore w:val="0"/>
        <w:widowControl w:val="0"/>
        <w:shd w:val="clear"/>
        <w:kinsoku/>
        <w:wordWrap/>
        <w:topLinePunct w:val="0"/>
        <w:bidi w:val="0"/>
        <w:snapToGrid w:val="0"/>
        <w:spacing w:line="580" w:lineRule="exact"/>
        <w:ind w:firstLine="480" w:firstLineChars="200"/>
        <w:rPr>
          <w:rFonts w:asciiTheme="minorEastAsia" w:hAnsiTheme="minorEastAsia"/>
          <w:bCs/>
          <w:color w:val="auto"/>
          <w:sz w:val="24"/>
        </w:rPr>
      </w:pPr>
      <w:r>
        <w:rPr>
          <w:rFonts w:hint="eastAsia" w:asciiTheme="minorEastAsia" w:hAnsiTheme="minorEastAsia"/>
          <w:bCs/>
          <w:color w:val="auto"/>
          <w:sz w:val="24"/>
        </w:rPr>
        <w:t>循序替代原则，要求估价结果不得明显偏离类似房地产在同等条件下的正常价格。替代原则是保证房地产估价能够通过运用市场资料进行和完成的重要理论前提。替代原则也反映了房地产估价的基本原理和最一般的估价过程，房地产估价所要确定的估价结论是估价对象的客观合理的价格或价值，对房地产交易目的而言，该客观合理价格或价值应当是在公开市场上最可能形成或成立的价格，房地产估价就是参照公开市场上足够数量的类似房地产的近期成交价格来确定估价对象的客观合理价格或价值的。</w:t>
      </w:r>
    </w:p>
    <w:p>
      <w:pPr>
        <w:pStyle w:val="9"/>
        <w:keepNext w:val="0"/>
        <w:keepLines w:val="0"/>
        <w:pageBreakBefore w:val="0"/>
        <w:widowControl w:val="0"/>
        <w:shd w:val="clear"/>
        <w:kinsoku/>
        <w:wordWrap/>
        <w:topLinePunct w:val="0"/>
        <w:bidi w:val="0"/>
        <w:snapToGrid w:val="0"/>
        <w:spacing w:line="580" w:lineRule="exact"/>
        <w:ind w:firstLine="480" w:firstLineChars="200"/>
        <w:rPr>
          <w:rFonts w:asciiTheme="minorEastAsia" w:hAnsiTheme="minorEastAsia"/>
          <w:bCs/>
          <w:color w:val="auto"/>
          <w:sz w:val="24"/>
        </w:rPr>
      </w:pPr>
      <w:r>
        <w:rPr>
          <w:rFonts w:hint="eastAsia" w:asciiTheme="minorEastAsia" w:hAnsiTheme="minorEastAsia"/>
          <w:bCs/>
          <w:color w:val="auto"/>
          <w:sz w:val="24"/>
        </w:rPr>
        <w:t>（五）最高最佳利用原则</w:t>
      </w:r>
    </w:p>
    <w:p>
      <w:pPr>
        <w:pStyle w:val="9"/>
        <w:keepNext w:val="0"/>
        <w:keepLines w:val="0"/>
        <w:pageBreakBefore w:val="0"/>
        <w:widowControl w:val="0"/>
        <w:shd w:val="clear"/>
        <w:kinsoku/>
        <w:wordWrap/>
        <w:topLinePunct w:val="0"/>
        <w:bidi w:val="0"/>
        <w:snapToGrid w:val="0"/>
        <w:spacing w:line="580" w:lineRule="exact"/>
        <w:ind w:firstLine="480" w:firstLineChars="200"/>
        <w:rPr>
          <w:rFonts w:asciiTheme="minorEastAsia" w:hAnsiTheme="minorEastAsia"/>
          <w:bCs/>
          <w:color w:val="auto"/>
          <w:sz w:val="24"/>
        </w:rPr>
      </w:pPr>
      <w:r>
        <w:rPr>
          <w:rFonts w:hint="eastAsia" w:asciiTheme="minorEastAsia" w:hAnsiTheme="minorEastAsia"/>
          <w:bCs/>
          <w:color w:val="auto"/>
          <w:sz w:val="24"/>
        </w:rPr>
        <w:t>房地产估价中所确定的客观合理价格或价值，其实质是房地产的经济价值，体现在房地产的利用过程中。房地产估价时必须以估价对象用于最高最佳利用为前提，使确定的估价结论时保持相同的口径。最高最佳利用需要同时满足四个条件：一是法律上允许；二是技术上可能；三是财务上可行；四是价值最大化。最高最佳利用是在法律、法规、政策以及建设用地使用权出让合同等允许范围内的最高最佳利用。</w:t>
      </w:r>
    </w:p>
    <w:p>
      <w:pPr>
        <w:shd w:val="clear"/>
        <w:adjustRightInd w:val="0"/>
        <w:snapToGrid w:val="0"/>
        <w:spacing w:line="520" w:lineRule="exact"/>
        <w:rPr>
          <w:rFonts w:asciiTheme="minorEastAsia" w:hAnsiTheme="minorEastAsia" w:eastAsiaTheme="minorEastAsia"/>
          <w:b/>
          <w:color w:val="auto"/>
          <w:spacing w:val="0"/>
        </w:rPr>
      </w:pPr>
      <w:r>
        <w:rPr>
          <w:rFonts w:hint="eastAsia" w:asciiTheme="minorEastAsia" w:hAnsiTheme="minorEastAsia" w:eastAsiaTheme="minorEastAsia"/>
          <w:b/>
          <w:color w:val="auto"/>
          <w:spacing w:val="0"/>
        </w:rPr>
        <w:t>八、估价依据</w:t>
      </w:r>
    </w:p>
    <w:p>
      <w:pPr>
        <w:pStyle w:val="9"/>
        <w:keepNext w:val="0"/>
        <w:keepLines w:val="0"/>
        <w:pageBreakBefore w:val="0"/>
        <w:widowControl w:val="0"/>
        <w:shd w:val="clear"/>
        <w:kinsoku/>
        <w:wordWrap/>
        <w:topLinePunct w:val="0"/>
        <w:bidi w:val="0"/>
        <w:spacing w:line="52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(一)国家法律、法规：</w:t>
      </w:r>
    </w:p>
    <w:p>
      <w:pPr>
        <w:keepNext w:val="0"/>
        <w:keepLines w:val="0"/>
        <w:pageBreakBefore w:val="0"/>
        <w:widowControl w:val="0"/>
        <w:shd w:val="clear"/>
        <w:kinsoku/>
        <w:wordWrap/>
        <w:topLinePunct w:val="0"/>
        <w:bidi w:val="0"/>
        <w:spacing w:line="520" w:lineRule="exact"/>
        <w:ind w:firstLine="480" w:firstLineChars="200"/>
        <w:rPr>
          <w:rFonts w:ascii="宋体" w:hAnsi="宋体"/>
          <w:color w:val="auto"/>
          <w:spacing w:val="0"/>
          <w:szCs w:val="24"/>
        </w:rPr>
      </w:pPr>
      <w:r>
        <w:rPr>
          <w:rFonts w:hint="eastAsia" w:ascii="宋体" w:hAnsi="宋体"/>
          <w:color w:val="auto"/>
          <w:spacing w:val="0"/>
          <w:szCs w:val="24"/>
        </w:rPr>
        <w:t>1.《中华人民共和国民法典》</w:t>
      </w:r>
      <w:r>
        <w:rPr>
          <w:rFonts w:ascii="宋体" w:hAnsi="宋体"/>
          <w:color w:val="auto"/>
          <w:spacing w:val="0"/>
          <w:szCs w:val="24"/>
        </w:rPr>
        <w:t>（2020年5月28日，十三届全国人大三次会议表决通过，自2021年1月1日起施行）</w:t>
      </w:r>
      <w:r>
        <w:rPr>
          <w:rFonts w:hint="eastAsia" w:ascii="宋体" w:hAnsi="宋体"/>
          <w:color w:val="auto"/>
          <w:spacing w:val="0"/>
          <w:szCs w:val="24"/>
        </w:rPr>
        <w:t>；</w:t>
      </w:r>
    </w:p>
    <w:p>
      <w:pPr>
        <w:keepNext w:val="0"/>
        <w:keepLines w:val="0"/>
        <w:pageBreakBefore w:val="0"/>
        <w:widowControl w:val="0"/>
        <w:shd w:val="clear"/>
        <w:kinsoku/>
        <w:wordWrap/>
        <w:topLinePunct w:val="0"/>
        <w:bidi w:val="0"/>
        <w:spacing w:line="520" w:lineRule="exact"/>
        <w:ind w:firstLine="480" w:firstLineChars="200"/>
        <w:rPr>
          <w:rFonts w:ascii="宋体" w:hAnsi="宋体"/>
          <w:color w:val="auto"/>
          <w:spacing w:val="0"/>
          <w:szCs w:val="24"/>
        </w:rPr>
      </w:pPr>
      <w:bookmarkStart w:id="5" w:name="_Toc47905235"/>
      <w:bookmarkStart w:id="6" w:name="_Toc3332"/>
      <w:bookmarkStart w:id="7" w:name="_Toc47881531"/>
      <w:r>
        <w:rPr>
          <w:rFonts w:hint="eastAsia" w:ascii="宋体" w:hAnsi="宋体"/>
          <w:color w:val="auto"/>
          <w:spacing w:val="0"/>
          <w:szCs w:val="24"/>
        </w:rPr>
        <w:t>2.《中华人民共和国城市房地产管理法》</w:t>
      </w:r>
      <w:r>
        <w:rPr>
          <w:rFonts w:ascii="宋体" w:hAnsi="宋体"/>
          <w:color w:val="auto"/>
          <w:spacing w:val="0"/>
          <w:szCs w:val="24"/>
        </w:rPr>
        <w:t>（20</w:t>
      </w:r>
      <w:r>
        <w:rPr>
          <w:rFonts w:hint="eastAsia" w:ascii="宋体" w:hAnsi="宋体"/>
          <w:color w:val="auto"/>
          <w:spacing w:val="0"/>
          <w:szCs w:val="24"/>
        </w:rPr>
        <w:t>19</w:t>
      </w:r>
      <w:r>
        <w:rPr>
          <w:rFonts w:ascii="宋体" w:hAnsi="宋体"/>
          <w:color w:val="auto"/>
          <w:spacing w:val="0"/>
          <w:szCs w:val="24"/>
        </w:rPr>
        <w:t>年8月</w:t>
      </w:r>
      <w:r>
        <w:rPr>
          <w:rFonts w:hint="eastAsia" w:ascii="宋体" w:hAnsi="宋体"/>
          <w:color w:val="auto"/>
          <w:spacing w:val="0"/>
          <w:szCs w:val="24"/>
        </w:rPr>
        <w:t>26</w:t>
      </w:r>
      <w:r>
        <w:rPr>
          <w:rFonts w:ascii="宋体" w:hAnsi="宋体"/>
          <w:color w:val="auto"/>
          <w:spacing w:val="0"/>
          <w:szCs w:val="24"/>
        </w:rPr>
        <w:t>日</w:t>
      </w:r>
      <w:r>
        <w:rPr>
          <w:rFonts w:hint="eastAsia" w:ascii="宋体" w:hAnsi="宋体"/>
          <w:color w:val="auto"/>
          <w:spacing w:val="0"/>
          <w:szCs w:val="24"/>
        </w:rPr>
        <w:t>第三次修正</w:t>
      </w:r>
      <w:r>
        <w:rPr>
          <w:rFonts w:ascii="宋体" w:hAnsi="宋体"/>
          <w:color w:val="auto"/>
          <w:spacing w:val="0"/>
          <w:szCs w:val="24"/>
        </w:rPr>
        <w:t>）</w:t>
      </w:r>
      <w:bookmarkEnd w:id="5"/>
      <w:bookmarkEnd w:id="6"/>
      <w:bookmarkEnd w:id="7"/>
      <w:r>
        <w:rPr>
          <w:rFonts w:hint="eastAsia" w:ascii="宋体" w:hAnsi="宋体"/>
          <w:color w:val="auto"/>
          <w:spacing w:val="0"/>
          <w:szCs w:val="24"/>
        </w:rPr>
        <w:t>；</w:t>
      </w:r>
    </w:p>
    <w:p>
      <w:pPr>
        <w:keepNext w:val="0"/>
        <w:keepLines w:val="0"/>
        <w:pageBreakBefore w:val="0"/>
        <w:widowControl w:val="0"/>
        <w:shd w:val="clear"/>
        <w:kinsoku/>
        <w:wordWrap/>
        <w:topLinePunct w:val="0"/>
        <w:bidi w:val="0"/>
        <w:spacing w:line="520" w:lineRule="exact"/>
        <w:ind w:firstLine="480" w:firstLineChars="200"/>
        <w:rPr>
          <w:rFonts w:ascii="宋体" w:hAnsi="宋体"/>
          <w:color w:val="auto"/>
          <w:spacing w:val="0"/>
          <w:szCs w:val="24"/>
        </w:rPr>
      </w:pPr>
      <w:r>
        <w:rPr>
          <w:rFonts w:hint="eastAsia" w:ascii="宋体" w:hAnsi="宋体"/>
          <w:color w:val="auto"/>
          <w:spacing w:val="0"/>
          <w:szCs w:val="24"/>
        </w:rPr>
        <w:t>3.《中华人民共和国土地管理法》</w:t>
      </w:r>
      <w:r>
        <w:rPr>
          <w:rFonts w:ascii="宋体" w:hAnsi="宋体"/>
          <w:color w:val="auto"/>
          <w:spacing w:val="0"/>
          <w:szCs w:val="24"/>
        </w:rPr>
        <w:t>（根据</w:t>
      </w:r>
      <w:r>
        <w:rPr>
          <w:rFonts w:hint="eastAsia" w:ascii="宋体" w:hAnsi="宋体"/>
          <w:color w:val="auto"/>
          <w:spacing w:val="0"/>
          <w:szCs w:val="24"/>
        </w:rPr>
        <w:t>2019年8月26日《全国人民代表大会常务委员会关于修改&lt;中华人民共和国土地管理法&gt;、&lt;中华人民共和国城市房地产管理法&gt;的决定》第三次修正）；</w:t>
      </w:r>
    </w:p>
    <w:p>
      <w:pPr>
        <w:keepNext w:val="0"/>
        <w:keepLines w:val="0"/>
        <w:pageBreakBefore w:val="0"/>
        <w:widowControl w:val="0"/>
        <w:shd w:val="clear"/>
        <w:kinsoku/>
        <w:wordWrap/>
        <w:topLinePunct w:val="0"/>
        <w:bidi w:val="0"/>
        <w:spacing w:line="520" w:lineRule="exact"/>
        <w:ind w:firstLine="480" w:firstLineChars="200"/>
        <w:rPr>
          <w:rFonts w:ascii="宋体" w:hAnsi="宋体"/>
          <w:color w:val="auto"/>
          <w:spacing w:val="0"/>
          <w:szCs w:val="24"/>
        </w:rPr>
      </w:pPr>
      <w:r>
        <w:rPr>
          <w:rFonts w:hint="eastAsia" w:ascii="宋体" w:hAnsi="宋体"/>
          <w:color w:val="auto"/>
          <w:spacing w:val="0"/>
          <w:szCs w:val="24"/>
        </w:rPr>
        <w:t>4.《中华人民共和国城乡规划法》</w:t>
      </w:r>
      <w:r>
        <w:rPr>
          <w:rFonts w:ascii="宋体" w:hAnsi="宋体"/>
          <w:color w:val="auto"/>
          <w:spacing w:val="0"/>
          <w:szCs w:val="24"/>
        </w:rPr>
        <w:t>（</w:t>
      </w:r>
      <w:r>
        <w:rPr>
          <w:rFonts w:hint="eastAsia" w:ascii="宋体" w:hAnsi="宋体"/>
          <w:color w:val="auto"/>
          <w:spacing w:val="0"/>
          <w:szCs w:val="24"/>
        </w:rPr>
        <w:t>根据2019年4月23日第十三届全国人民代表大会常务委员会第十次会议第二次修正</w:t>
      </w:r>
      <w:r>
        <w:rPr>
          <w:rFonts w:ascii="宋体" w:hAnsi="宋体"/>
          <w:color w:val="auto"/>
          <w:spacing w:val="0"/>
          <w:szCs w:val="24"/>
        </w:rPr>
        <w:t>）</w:t>
      </w:r>
      <w:r>
        <w:rPr>
          <w:rFonts w:hint="eastAsia" w:ascii="宋体" w:hAnsi="宋体"/>
          <w:color w:val="auto"/>
          <w:spacing w:val="0"/>
          <w:szCs w:val="24"/>
        </w:rPr>
        <w:t>；</w:t>
      </w:r>
    </w:p>
    <w:p>
      <w:pPr>
        <w:keepNext w:val="0"/>
        <w:keepLines w:val="0"/>
        <w:pageBreakBefore w:val="0"/>
        <w:widowControl w:val="0"/>
        <w:shd w:val="clear"/>
        <w:kinsoku/>
        <w:wordWrap/>
        <w:topLinePunct w:val="0"/>
        <w:bidi w:val="0"/>
        <w:spacing w:line="520" w:lineRule="exact"/>
        <w:ind w:firstLine="480" w:firstLineChars="200"/>
        <w:rPr>
          <w:rFonts w:ascii="宋体" w:hAnsi="宋体"/>
          <w:color w:val="auto"/>
          <w:spacing w:val="0"/>
          <w:szCs w:val="24"/>
        </w:rPr>
      </w:pPr>
      <w:r>
        <w:rPr>
          <w:rFonts w:hint="eastAsia" w:ascii="宋体" w:hAnsi="宋体"/>
          <w:color w:val="auto"/>
          <w:spacing w:val="0"/>
          <w:szCs w:val="24"/>
        </w:rPr>
        <w:t>5.</w:t>
      </w:r>
      <w:r>
        <w:rPr>
          <w:rFonts w:ascii="宋体" w:hAnsi="宋体"/>
          <w:color w:val="auto"/>
          <w:spacing w:val="0"/>
          <w:szCs w:val="24"/>
        </w:rPr>
        <w:t>《中华人民共和国土地管理法实施条例》（</w:t>
      </w:r>
      <w:r>
        <w:rPr>
          <w:rFonts w:hint="eastAsia" w:ascii="宋体" w:hAnsi="宋体"/>
          <w:color w:val="auto"/>
          <w:spacing w:val="0"/>
          <w:szCs w:val="24"/>
        </w:rPr>
        <w:t>2021年7月2日中华人民共和国国务院令第743号第三次修订</w:t>
      </w:r>
      <w:r>
        <w:rPr>
          <w:rFonts w:ascii="宋体" w:hAnsi="宋体"/>
          <w:color w:val="auto"/>
          <w:spacing w:val="0"/>
          <w:szCs w:val="24"/>
        </w:rPr>
        <w:t>）</w:t>
      </w:r>
      <w:r>
        <w:rPr>
          <w:rFonts w:hint="eastAsia" w:ascii="宋体" w:hAnsi="宋体"/>
          <w:color w:val="auto"/>
          <w:spacing w:val="0"/>
          <w:szCs w:val="24"/>
        </w:rPr>
        <w:t>；</w:t>
      </w:r>
    </w:p>
    <w:p>
      <w:pPr>
        <w:keepNext w:val="0"/>
        <w:keepLines w:val="0"/>
        <w:pageBreakBefore w:val="0"/>
        <w:widowControl w:val="0"/>
        <w:shd w:val="clear"/>
        <w:kinsoku/>
        <w:wordWrap/>
        <w:topLinePunct w:val="0"/>
        <w:bidi w:val="0"/>
        <w:spacing w:line="520" w:lineRule="exact"/>
        <w:ind w:firstLine="480" w:firstLineChars="200"/>
        <w:rPr>
          <w:rFonts w:ascii="宋体" w:hAnsi="宋体"/>
          <w:color w:val="auto"/>
          <w:spacing w:val="0"/>
          <w:szCs w:val="24"/>
        </w:rPr>
      </w:pPr>
      <w:r>
        <w:rPr>
          <w:rFonts w:hint="eastAsia" w:ascii="宋体" w:hAnsi="宋体"/>
          <w:color w:val="auto"/>
          <w:spacing w:val="0"/>
          <w:szCs w:val="24"/>
        </w:rPr>
        <w:t>6.</w:t>
      </w:r>
      <w:r>
        <w:rPr>
          <w:rFonts w:ascii="宋体" w:hAnsi="宋体"/>
          <w:color w:val="auto"/>
          <w:spacing w:val="0"/>
          <w:szCs w:val="24"/>
        </w:rPr>
        <w:t>《中华人民共和国城镇国有土地使用权出让和转让暂行条例》（1990年5月19日国务院令第55号）</w:t>
      </w:r>
      <w:r>
        <w:rPr>
          <w:rFonts w:hint="eastAsia" w:ascii="宋体" w:hAnsi="宋体"/>
          <w:color w:val="auto"/>
          <w:spacing w:val="0"/>
          <w:szCs w:val="24"/>
        </w:rPr>
        <w:t>；</w:t>
      </w:r>
    </w:p>
    <w:p>
      <w:pPr>
        <w:keepNext w:val="0"/>
        <w:keepLines w:val="0"/>
        <w:pageBreakBefore w:val="0"/>
        <w:widowControl w:val="0"/>
        <w:shd w:val="clear"/>
        <w:kinsoku/>
        <w:wordWrap/>
        <w:topLinePunct w:val="0"/>
        <w:bidi w:val="0"/>
        <w:spacing w:line="520" w:lineRule="exact"/>
        <w:ind w:firstLine="480" w:firstLineChars="200"/>
        <w:rPr>
          <w:rFonts w:ascii="宋体" w:hAnsi="宋体"/>
          <w:color w:val="auto"/>
          <w:spacing w:val="0"/>
          <w:szCs w:val="24"/>
        </w:rPr>
      </w:pPr>
      <w:r>
        <w:rPr>
          <w:rFonts w:hint="eastAsia" w:ascii="宋体" w:hAnsi="宋体"/>
          <w:color w:val="auto"/>
          <w:spacing w:val="0"/>
          <w:szCs w:val="24"/>
        </w:rPr>
        <w:t>7.《中华人民共和国资产评估法》（2016年7月2日中华人民共和国主席令第46号）。</w:t>
      </w:r>
    </w:p>
    <w:p>
      <w:pPr>
        <w:pStyle w:val="9"/>
        <w:keepNext w:val="0"/>
        <w:keepLines w:val="0"/>
        <w:pageBreakBefore w:val="0"/>
        <w:widowControl w:val="0"/>
        <w:shd w:val="clear"/>
        <w:kinsoku/>
        <w:wordWrap/>
        <w:topLinePunct w:val="0"/>
        <w:bidi w:val="0"/>
        <w:spacing w:line="520" w:lineRule="exact"/>
        <w:ind w:firstLine="480" w:firstLineChars="200"/>
        <w:rPr>
          <w:rFonts w:hint="eastAsia" w:asciiTheme="minorEastAsia" w:hAnsiTheme="minorEastAsia"/>
          <w:color w:val="auto"/>
          <w:sz w:val="24"/>
          <w:szCs w:val="24"/>
        </w:rPr>
      </w:pPr>
      <w:r>
        <w:rPr>
          <w:rFonts w:hint="eastAsia" w:asciiTheme="minorEastAsia" w:hAnsiTheme="minorEastAsia"/>
          <w:color w:val="auto"/>
          <w:sz w:val="24"/>
          <w:szCs w:val="24"/>
        </w:rPr>
        <w:t>（二）地方法规、部门规章、规范性文件</w:t>
      </w:r>
    </w:p>
    <w:p>
      <w:pPr>
        <w:pStyle w:val="9"/>
        <w:keepNext w:val="0"/>
        <w:keepLines w:val="0"/>
        <w:pageBreakBefore w:val="0"/>
        <w:widowControl w:val="0"/>
        <w:shd w:val="clear"/>
        <w:kinsoku/>
        <w:wordWrap/>
        <w:topLinePunct w:val="0"/>
        <w:bidi w:val="0"/>
        <w:spacing w:line="520" w:lineRule="exact"/>
        <w:ind w:firstLine="480" w:firstLineChars="200"/>
        <w:rPr>
          <w:rFonts w:hint="eastAsia" w:asciiTheme="minorEastAsia" w:hAnsiTheme="minorEastAsia"/>
          <w:color w:val="auto"/>
          <w:sz w:val="24"/>
          <w:szCs w:val="24"/>
        </w:rPr>
      </w:pPr>
      <w:r>
        <w:rPr>
          <w:rFonts w:hint="eastAsia" w:asciiTheme="minorEastAsia" w:hAnsiTheme="minorEastAsia"/>
          <w:color w:val="auto"/>
          <w:sz w:val="24"/>
          <w:szCs w:val="24"/>
        </w:rPr>
        <w:t>1、《城市房地产转让管理规定》</w:t>
      </w:r>
    </w:p>
    <w:p>
      <w:pPr>
        <w:pStyle w:val="9"/>
        <w:keepNext w:val="0"/>
        <w:keepLines w:val="0"/>
        <w:pageBreakBefore w:val="0"/>
        <w:widowControl w:val="0"/>
        <w:shd w:val="clear"/>
        <w:kinsoku/>
        <w:wordWrap/>
        <w:topLinePunct w:val="0"/>
        <w:bidi w:val="0"/>
        <w:spacing w:line="520" w:lineRule="exact"/>
        <w:ind w:firstLine="480" w:firstLineChars="200"/>
        <w:rPr>
          <w:rFonts w:hint="eastAsia" w:asciiTheme="minorEastAsia" w:hAnsiTheme="minorEastAsia"/>
          <w:color w:val="auto"/>
          <w:sz w:val="24"/>
          <w:szCs w:val="24"/>
        </w:rPr>
      </w:pPr>
      <w:r>
        <w:rPr>
          <w:rFonts w:hint="eastAsia" w:asciiTheme="minorEastAsia" w:hAnsiTheme="minorEastAsia"/>
          <w:color w:val="auto"/>
          <w:sz w:val="24"/>
          <w:szCs w:val="24"/>
        </w:rPr>
        <w:t>2、《</w:t>
      </w:r>
      <w:r>
        <w:rPr>
          <w:rFonts w:hint="eastAsia" w:asciiTheme="minorEastAsia" w:hAnsiTheme="minorEastAsia"/>
          <w:color w:val="auto"/>
          <w:sz w:val="24"/>
          <w:szCs w:val="24"/>
          <w:lang w:eastAsia="zh-CN"/>
        </w:rPr>
        <w:t>安徽省城市房地产交易管理条例</w:t>
      </w:r>
      <w:r>
        <w:rPr>
          <w:rFonts w:hint="eastAsia" w:asciiTheme="minorEastAsia" w:hAnsiTheme="minorEastAsia"/>
          <w:color w:val="auto"/>
          <w:sz w:val="24"/>
          <w:szCs w:val="24"/>
        </w:rPr>
        <w:t>》</w:t>
      </w:r>
    </w:p>
    <w:p>
      <w:pPr>
        <w:pStyle w:val="9"/>
        <w:keepNext w:val="0"/>
        <w:keepLines w:val="0"/>
        <w:pageBreakBefore w:val="0"/>
        <w:widowControl w:val="0"/>
        <w:shd w:val="clear"/>
        <w:kinsoku/>
        <w:wordWrap/>
        <w:topLinePunct w:val="0"/>
        <w:bidi w:val="0"/>
        <w:spacing w:line="520" w:lineRule="exact"/>
        <w:ind w:firstLine="480" w:firstLineChars="200"/>
        <w:rPr>
          <w:rFonts w:hint="eastAsia" w:asciiTheme="minorEastAsia" w:hAnsiTheme="minorEastAsia"/>
          <w:color w:val="auto"/>
          <w:sz w:val="24"/>
          <w:szCs w:val="24"/>
        </w:rPr>
      </w:pPr>
      <w:r>
        <w:rPr>
          <w:rFonts w:hint="eastAsia" w:asciiTheme="minorEastAsia" w:hAnsiTheme="minorEastAsia"/>
          <w:color w:val="auto"/>
          <w:sz w:val="24"/>
          <w:szCs w:val="24"/>
          <w:lang w:val="en-US" w:eastAsia="zh-CN"/>
        </w:rPr>
        <w:t>3</w:t>
      </w:r>
      <w:r>
        <w:rPr>
          <w:rFonts w:hint="eastAsia" w:asciiTheme="minorEastAsia" w:hAnsiTheme="minorEastAsia"/>
          <w:color w:val="auto"/>
          <w:sz w:val="24"/>
          <w:szCs w:val="24"/>
          <w:lang w:eastAsia="zh-CN"/>
        </w:rPr>
        <w:t>、</w:t>
      </w:r>
      <w:r>
        <w:rPr>
          <w:rFonts w:hint="eastAsia" w:asciiTheme="minorEastAsia" w:hAnsiTheme="minorEastAsia"/>
          <w:color w:val="auto"/>
          <w:sz w:val="24"/>
          <w:szCs w:val="24"/>
        </w:rPr>
        <w:t>《房地产司法鉴定估价指导意见》（试行）</w:t>
      </w:r>
    </w:p>
    <w:p>
      <w:pPr>
        <w:pStyle w:val="9"/>
        <w:keepNext w:val="0"/>
        <w:keepLines w:val="0"/>
        <w:pageBreakBefore w:val="0"/>
        <w:widowControl w:val="0"/>
        <w:shd w:val="clear"/>
        <w:kinsoku/>
        <w:wordWrap/>
        <w:topLinePunct w:val="0"/>
        <w:bidi w:val="0"/>
        <w:spacing w:line="520" w:lineRule="exact"/>
        <w:ind w:firstLine="480" w:firstLineChars="200"/>
        <w:rPr>
          <w:rFonts w:hint="eastAsia" w:asciiTheme="minorEastAsia" w:hAnsiTheme="minorEastAsia"/>
          <w:color w:val="auto"/>
          <w:sz w:val="24"/>
          <w:szCs w:val="24"/>
        </w:rPr>
      </w:pPr>
      <w:r>
        <w:rPr>
          <w:rFonts w:hint="eastAsia" w:asciiTheme="minorEastAsia" w:hAnsiTheme="minorEastAsia"/>
          <w:color w:val="auto"/>
          <w:sz w:val="24"/>
          <w:szCs w:val="24"/>
          <w:lang w:val="en-US" w:eastAsia="zh-CN"/>
        </w:rPr>
        <w:t>4</w:t>
      </w:r>
      <w:r>
        <w:rPr>
          <w:rFonts w:hint="eastAsia" w:asciiTheme="minorEastAsia" w:hAnsiTheme="minorEastAsia"/>
          <w:color w:val="auto"/>
          <w:sz w:val="24"/>
          <w:szCs w:val="24"/>
          <w:lang w:eastAsia="zh-CN"/>
        </w:rPr>
        <w:t>、</w:t>
      </w:r>
      <w:r>
        <w:rPr>
          <w:rFonts w:hint="eastAsia" w:asciiTheme="minorEastAsia" w:hAnsiTheme="minorEastAsia"/>
          <w:color w:val="auto"/>
          <w:sz w:val="24"/>
          <w:szCs w:val="24"/>
        </w:rPr>
        <w:t>《最高人民法院关于人民法院委托评估、拍卖和变卖工作的若干规定》</w:t>
      </w:r>
    </w:p>
    <w:p>
      <w:pPr>
        <w:pStyle w:val="9"/>
        <w:keepNext w:val="0"/>
        <w:keepLines w:val="0"/>
        <w:pageBreakBefore w:val="0"/>
        <w:widowControl w:val="0"/>
        <w:shd w:val="clear"/>
        <w:kinsoku/>
        <w:wordWrap/>
        <w:topLinePunct w:val="0"/>
        <w:bidi w:val="0"/>
        <w:spacing w:line="520" w:lineRule="exact"/>
        <w:ind w:firstLine="480" w:firstLineChars="200"/>
        <w:rPr>
          <w:rFonts w:hint="eastAsia" w:asciiTheme="minorEastAsia" w:hAnsiTheme="minorEastAsia"/>
          <w:color w:val="auto"/>
          <w:sz w:val="24"/>
          <w:szCs w:val="24"/>
        </w:rPr>
      </w:pPr>
      <w:r>
        <w:rPr>
          <w:rFonts w:hint="eastAsia" w:asciiTheme="minorEastAsia" w:hAnsiTheme="minorEastAsia"/>
          <w:color w:val="auto"/>
          <w:sz w:val="24"/>
          <w:szCs w:val="24"/>
          <w:lang w:val="en-US" w:eastAsia="zh-CN"/>
        </w:rPr>
        <w:t>5</w:t>
      </w:r>
      <w:r>
        <w:rPr>
          <w:rFonts w:hint="eastAsia" w:asciiTheme="minorEastAsia" w:hAnsiTheme="minorEastAsia"/>
          <w:color w:val="auto"/>
          <w:sz w:val="24"/>
          <w:szCs w:val="24"/>
          <w:lang w:eastAsia="zh-CN"/>
        </w:rPr>
        <w:t>、</w:t>
      </w:r>
      <w:r>
        <w:rPr>
          <w:rFonts w:hint="eastAsia" w:asciiTheme="minorEastAsia" w:hAnsiTheme="minorEastAsia"/>
          <w:color w:val="auto"/>
          <w:sz w:val="24"/>
          <w:szCs w:val="24"/>
        </w:rPr>
        <w:t>《最高人民法院关于人民法院确定财产处置参考价的若干问题的规定》（法释[2018]15号）</w:t>
      </w:r>
    </w:p>
    <w:p>
      <w:pPr>
        <w:pStyle w:val="9"/>
        <w:keepNext w:val="0"/>
        <w:keepLines w:val="0"/>
        <w:pageBreakBefore w:val="0"/>
        <w:widowControl w:val="0"/>
        <w:shd w:val="clear"/>
        <w:kinsoku/>
        <w:wordWrap/>
        <w:topLinePunct w:val="0"/>
        <w:bidi w:val="0"/>
        <w:spacing w:line="520" w:lineRule="exact"/>
        <w:ind w:firstLine="480" w:firstLineChars="200"/>
        <w:rPr>
          <w:rFonts w:hint="eastAsia" w:asciiTheme="minorEastAsia" w:hAnsiTheme="minorEastAsia"/>
          <w:color w:val="auto"/>
          <w:sz w:val="24"/>
          <w:szCs w:val="24"/>
        </w:rPr>
      </w:pPr>
      <w:r>
        <w:rPr>
          <w:rFonts w:hint="eastAsia" w:asciiTheme="minorEastAsia" w:hAnsiTheme="minorEastAsia"/>
          <w:color w:val="auto"/>
          <w:sz w:val="24"/>
          <w:szCs w:val="24"/>
          <w:lang w:val="en-US" w:eastAsia="zh-CN"/>
        </w:rPr>
        <w:t>6</w:t>
      </w:r>
      <w:r>
        <w:rPr>
          <w:rFonts w:hint="eastAsia" w:asciiTheme="minorEastAsia" w:hAnsiTheme="minorEastAsia"/>
          <w:color w:val="auto"/>
          <w:sz w:val="24"/>
          <w:szCs w:val="24"/>
          <w:lang w:eastAsia="zh-CN"/>
        </w:rPr>
        <w:t>、</w:t>
      </w:r>
      <w:r>
        <w:rPr>
          <w:rFonts w:hint="eastAsia" w:asciiTheme="minorEastAsia" w:hAnsiTheme="minorEastAsia"/>
          <w:color w:val="auto"/>
          <w:sz w:val="24"/>
          <w:szCs w:val="24"/>
        </w:rPr>
        <w:t>《人民法院关于委托评估工作规范》（法办[2018]273号）</w:t>
      </w:r>
    </w:p>
    <w:p>
      <w:pPr>
        <w:pStyle w:val="9"/>
        <w:keepNext w:val="0"/>
        <w:keepLines w:val="0"/>
        <w:pageBreakBefore w:val="0"/>
        <w:widowControl w:val="0"/>
        <w:shd w:val="clear"/>
        <w:kinsoku/>
        <w:wordWrap/>
        <w:topLinePunct w:val="0"/>
        <w:bidi w:val="0"/>
        <w:spacing w:line="520" w:lineRule="exact"/>
        <w:ind w:firstLine="480" w:firstLineChars="200"/>
        <w:rPr>
          <w:rFonts w:hint="eastAsia" w:asciiTheme="minorEastAsia" w:hAnsiTheme="minorEastAsia"/>
          <w:color w:val="auto"/>
          <w:sz w:val="24"/>
          <w:szCs w:val="24"/>
        </w:rPr>
      </w:pPr>
      <w:r>
        <w:rPr>
          <w:rFonts w:hint="eastAsia" w:asciiTheme="minorEastAsia" w:hAnsiTheme="minorEastAsia"/>
          <w:color w:val="auto"/>
          <w:sz w:val="24"/>
          <w:szCs w:val="24"/>
          <w:lang w:val="en-US" w:eastAsia="zh-CN"/>
        </w:rPr>
        <w:t>7、</w:t>
      </w:r>
      <w:r>
        <w:rPr>
          <w:rFonts w:hint="eastAsia" w:asciiTheme="minorEastAsia" w:hAnsiTheme="minorEastAsia"/>
          <w:color w:val="auto"/>
          <w:sz w:val="24"/>
          <w:szCs w:val="24"/>
        </w:rPr>
        <w:t>《涉执房地产处置司法评估指导意见（试行）》（2021年9月1日施行）</w:t>
      </w:r>
    </w:p>
    <w:p>
      <w:pPr>
        <w:pStyle w:val="9"/>
        <w:keepNext w:val="0"/>
        <w:keepLines w:val="0"/>
        <w:pageBreakBefore w:val="0"/>
        <w:widowControl w:val="0"/>
        <w:shd w:val="clear"/>
        <w:kinsoku/>
        <w:wordWrap/>
        <w:topLinePunct w:val="0"/>
        <w:bidi w:val="0"/>
        <w:spacing w:line="52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(三)技术标准：</w:t>
      </w:r>
    </w:p>
    <w:p>
      <w:pPr>
        <w:keepNext w:val="0"/>
        <w:keepLines w:val="0"/>
        <w:pageBreakBefore w:val="0"/>
        <w:widowControl w:val="0"/>
        <w:shd w:val="clear"/>
        <w:tabs>
          <w:tab w:val="left" w:pos="735"/>
        </w:tabs>
        <w:kinsoku/>
        <w:wordWrap/>
        <w:overflowPunct w:val="0"/>
        <w:topLinePunct w:val="0"/>
        <w:bidi w:val="0"/>
        <w:spacing w:line="520" w:lineRule="exact"/>
        <w:ind w:firstLine="480" w:firstLineChars="200"/>
        <w:outlineLvl w:val="2"/>
        <w:rPr>
          <w:rFonts w:asciiTheme="minorEastAsia" w:hAnsiTheme="minorEastAsia" w:eastAsiaTheme="minorEastAsia"/>
          <w:color w:val="auto"/>
          <w:spacing w:val="0"/>
          <w:szCs w:val="24"/>
        </w:rPr>
      </w:pPr>
      <w:r>
        <w:rPr>
          <w:rFonts w:hint="eastAsia" w:asciiTheme="minorEastAsia" w:hAnsiTheme="minorEastAsia" w:eastAsiaTheme="minorEastAsia"/>
          <w:color w:val="auto"/>
          <w:spacing w:val="0"/>
          <w:szCs w:val="24"/>
        </w:rPr>
        <w:t>1.《房地产估价规范》(国标GB/T 50291-2015)；</w:t>
      </w:r>
    </w:p>
    <w:p>
      <w:pPr>
        <w:keepNext w:val="0"/>
        <w:keepLines w:val="0"/>
        <w:pageBreakBefore w:val="0"/>
        <w:widowControl w:val="0"/>
        <w:shd w:val="clear"/>
        <w:tabs>
          <w:tab w:val="left" w:pos="735"/>
        </w:tabs>
        <w:kinsoku/>
        <w:wordWrap/>
        <w:overflowPunct w:val="0"/>
        <w:topLinePunct w:val="0"/>
        <w:bidi w:val="0"/>
        <w:spacing w:line="520" w:lineRule="exact"/>
        <w:ind w:firstLine="480" w:firstLineChars="200"/>
        <w:outlineLvl w:val="2"/>
        <w:rPr>
          <w:rFonts w:asciiTheme="minorEastAsia" w:hAnsiTheme="minorEastAsia" w:eastAsiaTheme="minorEastAsia"/>
          <w:color w:val="auto"/>
          <w:spacing w:val="0"/>
          <w:szCs w:val="24"/>
        </w:rPr>
      </w:pPr>
      <w:r>
        <w:rPr>
          <w:rFonts w:hint="eastAsia" w:asciiTheme="minorEastAsia" w:hAnsiTheme="minorEastAsia" w:eastAsiaTheme="minorEastAsia"/>
          <w:color w:val="auto"/>
          <w:spacing w:val="0"/>
          <w:szCs w:val="24"/>
        </w:rPr>
        <w:t>2.《房地产估价基本术语标准》（GB/T 50899-2013）。</w:t>
      </w:r>
    </w:p>
    <w:p>
      <w:pPr>
        <w:pStyle w:val="9"/>
        <w:keepNext w:val="0"/>
        <w:keepLines w:val="0"/>
        <w:pageBreakBefore w:val="0"/>
        <w:widowControl w:val="0"/>
        <w:shd w:val="clear"/>
        <w:kinsoku/>
        <w:wordWrap/>
        <w:topLinePunct w:val="0"/>
        <w:bidi w:val="0"/>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(四)委托人提供的有关资料</w:t>
      </w:r>
    </w:p>
    <w:p>
      <w:pPr>
        <w:pStyle w:val="9"/>
        <w:keepNext w:val="0"/>
        <w:keepLines w:val="0"/>
        <w:pageBreakBefore w:val="0"/>
        <w:widowControl w:val="0"/>
        <w:shd w:val="clear"/>
        <w:kinsoku/>
        <w:wordWrap/>
        <w:topLinePunct w:val="0"/>
        <w:bidi w:val="0"/>
        <w:spacing w:line="520" w:lineRule="exact"/>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1.《国有土地使用证》复印件；</w:t>
      </w:r>
    </w:p>
    <w:p>
      <w:pPr>
        <w:pStyle w:val="9"/>
        <w:keepNext w:val="0"/>
        <w:keepLines w:val="0"/>
        <w:pageBreakBefore w:val="0"/>
        <w:widowControl w:val="0"/>
        <w:shd w:val="clear"/>
        <w:kinsoku/>
        <w:wordWrap/>
        <w:topLinePunct w:val="0"/>
        <w:bidi w:val="0"/>
        <w:spacing w:line="520" w:lineRule="exact"/>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2.《房地产权证》复印件、《他项权证》、</w:t>
      </w:r>
      <w:r>
        <w:rPr>
          <w:rFonts w:hint="eastAsia" w:ascii="宋体" w:hAnsi="宋体" w:cs="宋体"/>
          <w:color w:val="auto"/>
          <w:spacing w:val="0"/>
          <w:kern w:val="0"/>
          <w:szCs w:val="24"/>
          <w:lang w:eastAsia="zh-CN"/>
        </w:rPr>
        <w:t>《六安市不动产权登记一体化平台业务查询》等</w:t>
      </w:r>
      <w:r>
        <w:rPr>
          <w:rFonts w:hint="eastAsia" w:ascii="宋体" w:hAnsi="宋体" w:cs="宋体"/>
          <w:color w:val="auto"/>
          <w:sz w:val="24"/>
          <w:szCs w:val="24"/>
          <w:lang w:eastAsia="zh-CN"/>
        </w:rPr>
        <w:t>复印件；</w:t>
      </w:r>
    </w:p>
    <w:p>
      <w:pPr>
        <w:pStyle w:val="9"/>
        <w:keepNext w:val="0"/>
        <w:keepLines w:val="0"/>
        <w:pageBreakBefore w:val="0"/>
        <w:widowControl w:val="0"/>
        <w:shd w:val="clear"/>
        <w:kinsoku/>
        <w:wordWrap/>
        <w:topLinePunct w:val="0"/>
        <w:bidi w:val="0"/>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rPr>
        <w:t>．其他与本次评估相关的资料。</w:t>
      </w:r>
    </w:p>
    <w:p>
      <w:pPr>
        <w:pStyle w:val="9"/>
        <w:keepNext w:val="0"/>
        <w:keepLines w:val="0"/>
        <w:pageBreakBefore w:val="0"/>
        <w:widowControl w:val="0"/>
        <w:shd w:val="clear"/>
        <w:kinsoku/>
        <w:wordWrap/>
        <w:topLinePunct w:val="0"/>
        <w:bidi w:val="0"/>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(五)估价机构、注册房地产估价师掌握和搜集的资料</w:t>
      </w:r>
    </w:p>
    <w:p>
      <w:pPr>
        <w:pStyle w:val="9"/>
        <w:keepNext w:val="0"/>
        <w:keepLines w:val="0"/>
        <w:pageBreakBefore w:val="0"/>
        <w:widowControl w:val="0"/>
        <w:shd w:val="clear"/>
        <w:kinsoku/>
        <w:wordWrap/>
        <w:topLinePunct w:val="0"/>
        <w:bidi w:val="0"/>
        <w:spacing w:line="52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1．估价对象周边房地产市场状况；</w:t>
      </w:r>
    </w:p>
    <w:p>
      <w:pPr>
        <w:keepNext w:val="0"/>
        <w:keepLines w:val="0"/>
        <w:pageBreakBefore w:val="0"/>
        <w:widowControl w:val="0"/>
        <w:shd w:val="clear"/>
        <w:kinsoku/>
        <w:wordWrap/>
        <w:topLinePunct w:val="0"/>
        <w:bidi w:val="0"/>
        <w:adjustRightInd w:val="0"/>
        <w:snapToGrid w:val="0"/>
        <w:spacing w:line="520" w:lineRule="exact"/>
        <w:ind w:firstLine="480" w:firstLineChars="200"/>
        <w:rPr>
          <w:rFonts w:ascii="宋体" w:hAnsi="宋体" w:eastAsiaTheme="minorEastAsia" w:cstheme="minorBidi"/>
          <w:color w:val="auto"/>
          <w:spacing w:val="0"/>
          <w:szCs w:val="24"/>
        </w:rPr>
      </w:pPr>
      <w:r>
        <w:rPr>
          <w:rFonts w:hint="eastAsia" w:ascii="宋体" w:hAnsi="宋体" w:eastAsiaTheme="minorEastAsia" w:cstheme="minorBidi"/>
          <w:color w:val="auto"/>
          <w:spacing w:val="0"/>
          <w:szCs w:val="24"/>
        </w:rPr>
        <w:t>2．估价对象区域位置示意图；</w:t>
      </w:r>
    </w:p>
    <w:p>
      <w:pPr>
        <w:keepNext w:val="0"/>
        <w:keepLines w:val="0"/>
        <w:pageBreakBefore w:val="0"/>
        <w:widowControl w:val="0"/>
        <w:shd w:val="clear"/>
        <w:kinsoku/>
        <w:wordWrap/>
        <w:topLinePunct w:val="0"/>
        <w:bidi w:val="0"/>
        <w:adjustRightInd w:val="0"/>
        <w:snapToGrid w:val="0"/>
        <w:spacing w:line="520" w:lineRule="exact"/>
        <w:ind w:firstLine="480" w:firstLineChars="200"/>
        <w:rPr>
          <w:rFonts w:ascii="宋体" w:hAnsi="宋体" w:eastAsiaTheme="minorEastAsia" w:cstheme="minorBidi"/>
          <w:color w:val="auto"/>
          <w:spacing w:val="0"/>
          <w:szCs w:val="24"/>
        </w:rPr>
      </w:pPr>
      <w:r>
        <w:rPr>
          <w:rFonts w:hint="eastAsia" w:ascii="宋体" w:hAnsi="宋体" w:eastAsiaTheme="minorEastAsia" w:cstheme="minorBidi"/>
          <w:color w:val="auto"/>
          <w:spacing w:val="0"/>
          <w:szCs w:val="24"/>
        </w:rPr>
        <w:t>3．估价对象现状利用及周边环境情况；</w:t>
      </w:r>
    </w:p>
    <w:p>
      <w:pPr>
        <w:pStyle w:val="9"/>
        <w:keepNext w:val="0"/>
        <w:keepLines w:val="0"/>
        <w:pageBreakBefore w:val="0"/>
        <w:widowControl w:val="0"/>
        <w:shd w:val="clear"/>
        <w:kinsoku/>
        <w:wordWrap/>
        <w:topLinePunct w:val="0"/>
        <w:bidi w:val="0"/>
        <w:spacing w:line="520" w:lineRule="exact"/>
        <w:ind w:firstLine="480" w:firstLineChars="200"/>
        <w:rPr>
          <w:rFonts w:asciiTheme="minorEastAsia" w:hAnsiTheme="minorEastAsia"/>
          <w:color w:val="auto"/>
          <w:sz w:val="24"/>
          <w:szCs w:val="24"/>
        </w:rPr>
      </w:pPr>
      <w:r>
        <w:rPr>
          <w:rFonts w:ascii="宋体" w:hAnsi="宋体"/>
          <w:color w:val="auto"/>
          <w:sz w:val="24"/>
          <w:szCs w:val="24"/>
        </w:rPr>
        <w:t>4</w:t>
      </w:r>
      <w:r>
        <w:rPr>
          <w:rFonts w:hint="eastAsia" w:ascii="宋体" w:hAnsi="宋体"/>
          <w:color w:val="auto"/>
          <w:sz w:val="24"/>
          <w:szCs w:val="24"/>
        </w:rPr>
        <w:t>．其他与本次评估相关的资料。</w:t>
      </w:r>
    </w:p>
    <w:p>
      <w:pPr>
        <w:shd w:val="clear"/>
        <w:adjustRightInd w:val="0"/>
        <w:snapToGrid w:val="0"/>
        <w:spacing w:line="520" w:lineRule="exact"/>
        <w:rPr>
          <w:rFonts w:asciiTheme="minorEastAsia" w:hAnsiTheme="minorEastAsia" w:eastAsiaTheme="minorEastAsia"/>
          <w:b/>
          <w:color w:val="auto"/>
          <w:spacing w:val="0"/>
        </w:rPr>
      </w:pPr>
      <w:r>
        <w:rPr>
          <w:rFonts w:hint="eastAsia" w:asciiTheme="minorEastAsia" w:hAnsiTheme="minorEastAsia" w:eastAsiaTheme="minorEastAsia"/>
          <w:b/>
          <w:color w:val="auto"/>
          <w:spacing w:val="0"/>
        </w:rPr>
        <w:t>九、估价方法</w:t>
      </w:r>
    </w:p>
    <w:p>
      <w:pPr>
        <w:spacing w:line="520" w:lineRule="exact"/>
        <w:ind w:firstLine="482" w:firstLineChars="200"/>
        <w:rPr>
          <w:rFonts w:asciiTheme="minorEastAsia" w:hAnsiTheme="minorEastAsia" w:eastAsiaTheme="minorEastAsia"/>
          <w:b/>
          <w:bCs/>
          <w:color w:val="1E1C11" w:themeColor="background2" w:themeShade="1A"/>
          <w:spacing w:val="0"/>
          <w:szCs w:val="24"/>
        </w:rPr>
      </w:pPr>
      <w:r>
        <w:rPr>
          <w:rFonts w:hint="eastAsia" w:asciiTheme="minorEastAsia" w:hAnsiTheme="minorEastAsia" w:eastAsiaTheme="minorEastAsia"/>
          <w:b/>
          <w:bCs/>
          <w:color w:val="1E1C11" w:themeColor="background2" w:themeShade="1A"/>
          <w:spacing w:val="0"/>
          <w:szCs w:val="24"/>
        </w:rPr>
        <w:t>(一)本次估价的技术思路和估价方法</w:t>
      </w:r>
    </w:p>
    <w:p>
      <w:pPr>
        <w:spacing w:line="520" w:lineRule="exact"/>
        <w:ind w:firstLine="480" w:firstLineChars="200"/>
        <w:outlineLvl w:val="1"/>
        <w:rPr>
          <w:rFonts w:asciiTheme="minorEastAsia" w:hAnsiTheme="minorEastAsia" w:eastAsiaTheme="minorEastAsia"/>
          <w:color w:val="1E1C11" w:themeColor="background2" w:themeShade="1A"/>
          <w:spacing w:val="0"/>
        </w:rPr>
      </w:pPr>
      <w:r>
        <w:rPr>
          <w:rFonts w:hint="eastAsia" w:asciiTheme="minorEastAsia" w:hAnsiTheme="minorEastAsia" w:eastAsiaTheme="minorEastAsia"/>
          <w:color w:val="1E1C11" w:themeColor="background2" w:themeShade="1A"/>
          <w:spacing w:val="0"/>
        </w:rPr>
        <w:t>根据《房地产估价规范》，房地产估价方法通常有比较法、收益法、成本法、假设开发法。比较法适用于同类房地产交易实例较多的估价，收益法适用于有收益或有潜在收益的房地产估价，成本法是指按价值时点的价格水平重新建造与估价对象具有同等功效的全新状态的建筑物的正常价格，假设开发法适用于具有投资开发或开发潜力的房地产估价。</w:t>
      </w:r>
    </w:p>
    <w:p>
      <w:pPr>
        <w:spacing w:line="520" w:lineRule="exact"/>
        <w:ind w:firstLine="480" w:firstLineChars="200"/>
        <w:outlineLvl w:val="1"/>
        <w:rPr>
          <w:rFonts w:asciiTheme="minorEastAsia" w:hAnsiTheme="minorEastAsia" w:eastAsiaTheme="minorEastAsia"/>
          <w:color w:val="1E1C11" w:themeColor="background2" w:themeShade="1A"/>
          <w:spacing w:val="0"/>
        </w:rPr>
      </w:pPr>
      <w:r>
        <w:rPr>
          <w:rFonts w:hint="eastAsia" w:asciiTheme="minorEastAsia" w:hAnsiTheme="minorEastAsia" w:eastAsiaTheme="minorEastAsia"/>
          <w:color w:val="1E1C11" w:themeColor="background2" w:themeShade="1A"/>
          <w:spacing w:val="0"/>
        </w:rPr>
        <w:t>根据委托方提供的资料，本次估价对象为工业用地及地上工业用房。因工业厂房建设一般根据工业企业生产需要，建设完成后作为本企业生产自用，不用于出售或出租，因此，房地整体出售或出租情况较少，难以采用比较法、收益法进行评估，而估价对象为已建设完成的房地产，近期内也无重新规划建设可能，故也不适用假设开发法。综合分析估价对象特点，本次采用房地分估技术路线，分别评估工业用地和工业厂房价格，再将其加和得到估价对象总体价值。</w:t>
      </w:r>
    </w:p>
    <w:p>
      <w:pPr>
        <w:spacing w:line="520" w:lineRule="exact"/>
        <w:ind w:firstLine="480" w:firstLineChars="200"/>
        <w:outlineLvl w:val="1"/>
        <w:rPr>
          <w:rFonts w:asciiTheme="minorEastAsia" w:hAnsiTheme="minorEastAsia" w:eastAsiaTheme="minorEastAsia"/>
          <w:color w:val="1E1C11" w:themeColor="background2" w:themeShade="1A"/>
          <w:spacing w:val="0"/>
        </w:rPr>
      </w:pPr>
      <w:r>
        <w:rPr>
          <w:rFonts w:hint="eastAsia" w:asciiTheme="minorEastAsia" w:hAnsiTheme="minorEastAsia" w:eastAsiaTheme="minorEastAsia"/>
          <w:color w:val="1E1C11" w:themeColor="background2" w:themeShade="1A"/>
          <w:spacing w:val="0"/>
        </w:rPr>
        <w:t>基本公式=土地评估价值+建筑物评估价值</w:t>
      </w:r>
    </w:p>
    <w:p>
      <w:pPr>
        <w:pStyle w:val="8"/>
        <w:snapToGrid w:val="0"/>
        <w:spacing w:line="520" w:lineRule="exact"/>
        <w:ind w:left="0" w:firstLine="482" w:firstLineChars="200"/>
        <w:rPr>
          <w:rFonts w:ascii="宋体" w:hAnsi="宋体"/>
          <w:color w:val="1E1C11" w:themeColor="background2" w:themeShade="1A"/>
          <w:sz w:val="24"/>
          <w:szCs w:val="24"/>
        </w:rPr>
      </w:pPr>
      <w:r>
        <w:rPr>
          <w:rFonts w:hint="eastAsia" w:asciiTheme="minorEastAsia" w:hAnsiTheme="minorEastAsia" w:eastAsiaTheme="minorEastAsia"/>
          <w:b/>
          <w:color w:val="1E1C11" w:themeColor="background2" w:themeShade="1A"/>
          <w:sz w:val="24"/>
          <w:szCs w:val="24"/>
        </w:rPr>
        <w:t>1、</w:t>
      </w:r>
      <w:r>
        <w:rPr>
          <w:rFonts w:hint="eastAsia" w:asciiTheme="minorEastAsia" w:hAnsiTheme="minorEastAsia" w:eastAsiaTheme="minorEastAsia"/>
          <w:b/>
          <w:bCs/>
          <w:color w:val="1E1C11" w:themeColor="background2" w:themeShade="1A"/>
          <w:sz w:val="24"/>
          <w:szCs w:val="24"/>
        </w:rPr>
        <w:t>土</w:t>
      </w:r>
      <w:r>
        <w:rPr>
          <w:rFonts w:hint="eastAsia" w:asciiTheme="minorEastAsia" w:hAnsiTheme="minorEastAsia" w:eastAsiaTheme="minorEastAsia"/>
          <w:b/>
          <w:color w:val="1E1C11" w:themeColor="background2" w:themeShade="1A"/>
          <w:sz w:val="24"/>
          <w:szCs w:val="24"/>
        </w:rPr>
        <w:t>地计算方法选择：</w:t>
      </w:r>
    </w:p>
    <w:p>
      <w:pPr>
        <w:keepNext w:val="0"/>
        <w:keepLines w:val="0"/>
        <w:pageBreakBefore w:val="0"/>
        <w:widowControl w:val="0"/>
        <w:kinsoku/>
        <w:wordWrap/>
        <w:overflowPunct/>
        <w:topLinePunct w:val="0"/>
        <w:bidi w:val="0"/>
        <w:spacing w:line="480" w:lineRule="exact"/>
        <w:ind w:firstLine="480" w:firstLineChars="200"/>
        <w:outlineLvl w:val="1"/>
        <w:rPr>
          <w:rFonts w:asciiTheme="minorEastAsia" w:hAnsiTheme="minorEastAsia" w:eastAsiaTheme="minorEastAsia"/>
          <w:color w:val="1E1C11" w:themeColor="background2" w:themeShade="1A"/>
          <w:spacing w:val="0"/>
        </w:rPr>
      </w:pPr>
      <w:r>
        <w:rPr>
          <w:rFonts w:hint="eastAsia" w:asciiTheme="minorEastAsia" w:hAnsiTheme="minorEastAsia" w:eastAsiaTheme="minorEastAsia"/>
          <w:color w:val="1E1C11" w:themeColor="background2" w:themeShade="1A"/>
          <w:spacing w:val="0"/>
        </w:rPr>
        <w:t>根据《城镇土地估价规程》(以下简称《规程》)，通行的估价方法有市场比较法、收益还原法、假设开发法、成本</w:t>
      </w:r>
      <w:r>
        <w:rPr>
          <w:rFonts w:hint="eastAsia" w:asciiTheme="minorEastAsia" w:hAnsiTheme="minorEastAsia" w:eastAsiaTheme="minorEastAsia"/>
          <w:color w:val="1E1C11" w:themeColor="background2" w:themeShade="1A"/>
          <w:spacing w:val="0"/>
          <w:lang w:eastAsia="zh-CN"/>
        </w:rPr>
        <w:t>逼近</w:t>
      </w:r>
      <w:r>
        <w:rPr>
          <w:rFonts w:hint="eastAsia" w:asciiTheme="minorEastAsia" w:hAnsiTheme="minorEastAsia" w:eastAsiaTheme="minorEastAsia"/>
          <w:color w:val="1E1C11" w:themeColor="background2" w:themeShade="1A"/>
          <w:spacing w:val="0"/>
        </w:rPr>
        <w:t>法、基准地价系数修正法等。估价方法的选择应按照地价评估的技术《规程》，根据当地地产市场发育情况并结合估价对象的具体特点及估价目的等，选择适当的估价方法。经估价人员对待估宗地及所处区域的调查，结合此次估价目的及宗地所处位置、规划用途等因素进行分析，待估宗地处于</w:t>
      </w:r>
      <w:r>
        <w:rPr>
          <w:rFonts w:hint="eastAsia" w:asciiTheme="minorEastAsia" w:hAnsiTheme="minorEastAsia" w:eastAsiaTheme="minorEastAsia"/>
          <w:color w:val="1E1C11" w:themeColor="background2" w:themeShade="1A"/>
          <w:spacing w:val="0"/>
          <w:lang w:eastAsia="zh-CN"/>
        </w:rPr>
        <w:t>六安开发区</w:t>
      </w:r>
      <w:r>
        <w:rPr>
          <w:rFonts w:hint="eastAsia" w:asciiTheme="minorEastAsia" w:hAnsiTheme="minorEastAsia" w:eastAsiaTheme="minorEastAsia"/>
          <w:color w:val="1E1C11" w:themeColor="background2" w:themeShade="1A"/>
          <w:spacing w:val="0"/>
        </w:rPr>
        <w:t>，该宗地为工业用途，近期类似估价对象工业成交案例较多，有可比案例做比较，因此适宜采取市场比较法计算。估价对象为工业用地, 可以参考</w:t>
      </w:r>
      <w:r>
        <w:rPr>
          <w:rFonts w:hint="eastAsia" w:asciiTheme="minorEastAsia" w:hAnsiTheme="minorEastAsia" w:eastAsiaTheme="minorEastAsia"/>
          <w:color w:val="1E1C11" w:themeColor="background2" w:themeShade="1A"/>
          <w:spacing w:val="0"/>
          <w:lang w:eastAsia="zh-CN"/>
        </w:rPr>
        <w:t>六安市</w:t>
      </w:r>
      <w:r>
        <w:rPr>
          <w:rFonts w:hint="eastAsia" w:asciiTheme="minorEastAsia" w:hAnsiTheme="minorEastAsia" w:eastAsiaTheme="minorEastAsia"/>
          <w:color w:val="1E1C11" w:themeColor="background2" w:themeShade="1A"/>
          <w:spacing w:val="0"/>
        </w:rPr>
        <w:t>征地拆迁费及各种征地补偿费，故适宜采取成本</w:t>
      </w:r>
      <w:r>
        <w:rPr>
          <w:rFonts w:hint="eastAsia" w:asciiTheme="minorEastAsia" w:hAnsiTheme="minorEastAsia" w:eastAsiaTheme="minorEastAsia"/>
          <w:color w:val="1E1C11" w:themeColor="background2" w:themeShade="1A"/>
          <w:spacing w:val="0"/>
          <w:lang w:eastAsia="zh-CN"/>
        </w:rPr>
        <w:t>逼近</w:t>
      </w:r>
      <w:r>
        <w:rPr>
          <w:rFonts w:hint="eastAsia" w:asciiTheme="minorEastAsia" w:hAnsiTheme="minorEastAsia" w:eastAsiaTheme="minorEastAsia"/>
          <w:color w:val="1E1C11" w:themeColor="background2" w:themeShade="1A"/>
          <w:spacing w:val="0"/>
        </w:rPr>
        <w:t>法，另外，估价对象为工业用地，且已建成，本次评估不采用假设开发法进行评估。</w:t>
      </w:r>
      <w:r>
        <w:rPr>
          <w:rFonts w:hint="eastAsia" w:ascii="宋体" w:hAnsi="宋体" w:eastAsiaTheme="minorEastAsia"/>
          <w:color w:val="1E1C11" w:themeColor="background2" w:themeShade="1A"/>
          <w:szCs w:val="24"/>
        </w:rPr>
        <w:t>待估宗地虽位于</w:t>
      </w:r>
      <w:r>
        <w:rPr>
          <w:rFonts w:hint="eastAsia" w:ascii="宋体" w:hAnsi="宋体" w:eastAsiaTheme="minorEastAsia"/>
          <w:color w:val="1E1C11" w:themeColor="background2" w:themeShade="1A"/>
          <w:szCs w:val="24"/>
          <w:lang w:eastAsia="zh-CN"/>
        </w:rPr>
        <w:t>六安市</w:t>
      </w:r>
      <w:r>
        <w:rPr>
          <w:rFonts w:hint="eastAsia" w:ascii="宋体" w:hAnsi="宋体" w:eastAsiaTheme="minorEastAsia"/>
          <w:color w:val="1E1C11" w:themeColor="background2" w:themeShade="1A"/>
          <w:szCs w:val="24"/>
        </w:rPr>
        <w:t>基准地价范围内，但由于</w:t>
      </w:r>
      <w:r>
        <w:rPr>
          <w:rFonts w:hint="eastAsia" w:ascii="宋体" w:hAnsi="宋体" w:eastAsiaTheme="minorEastAsia"/>
          <w:color w:val="1E1C11" w:themeColor="background2" w:themeShade="1A"/>
          <w:szCs w:val="24"/>
          <w:lang w:eastAsia="zh-CN"/>
        </w:rPr>
        <w:t>六安市</w:t>
      </w:r>
      <w:r>
        <w:rPr>
          <w:rFonts w:hint="eastAsia" w:ascii="宋体" w:hAnsi="宋体" w:eastAsiaTheme="minorEastAsia"/>
          <w:color w:val="1E1C11" w:themeColor="background2" w:themeShade="1A"/>
          <w:szCs w:val="24"/>
        </w:rPr>
        <w:t>基准地价估价基准日</w:t>
      </w:r>
      <w:r>
        <w:rPr>
          <w:rFonts w:hint="eastAsia" w:ascii="宋体" w:hAnsi="宋体"/>
          <w:color w:val="1E1C11" w:themeColor="background2" w:themeShade="1A"/>
          <w:szCs w:val="24"/>
        </w:rPr>
        <w:t>为201</w:t>
      </w:r>
      <w:r>
        <w:rPr>
          <w:rFonts w:hint="eastAsia" w:ascii="宋体" w:hAnsi="宋体"/>
          <w:color w:val="1E1C11" w:themeColor="background2" w:themeShade="1A"/>
          <w:szCs w:val="24"/>
          <w:lang w:val="en-US" w:eastAsia="zh-CN"/>
        </w:rPr>
        <w:t>7</w:t>
      </w:r>
      <w:r>
        <w:rPr>
          <w:rFonts w:hint="eastAsia" w:ascii="宋体" w:hAnsi="宋体"/>
          <w:color w:val="1E1C11" w:themeColor="background2" w:themeShade="1A"/>
          <w:szCs w:val="24"/>
        </w:rPr>
        <w:t>年1月1日，距本次估价期日</w:t>
      </w:r>
      <w:r>
        <w:rPr>
          <w:rFonts w:hint="eastAsia" w:ascii="宋体" w:hAnsi="宋体"/>
          <w:color w:val="1E1C11" w:themeColor="background2" w:themeShade="1A"/>
          <w:szCs w:val="24"/>
          <w:lang w:eastAsia="zh-CN"/>
        </w:rPr>
        <w:t>已超过六年</w:t>
      </w:r>
      <w:r>
        <w:rPr>
          <w:rFonts w:hint="eastAsia" w:ascii="宋体" w:hAnsi="宋体"/>
          <w:color w:val="1E1C11" w:themeColor="background2" w:themeShade="1A"/>
          <w:szCs w:val="24"/>
        </w:rPr>
        <w:t>，不能准确反映待估宗地的市场价值，故本次评估不选用基准地价系数修正法进行评估</w:t>
      </w:r>
      <w:r>
        <w:rPr>
          <w:rFonts w:hint="eastAsia" w:asciiTheme="minorEastAsia" w:hAnsiTheme="minorEastAsia" w:eastAsiaTheme="minorEastAsia"/>
          <w:color w:val="1E1C11" w:themeColor="background2" w:themeShade="1A"/>
          <w:spacing w:val="0"/>
        </w:rPr>
        <w:t>。</w:t>
      </w:r>
    </w:p>
    <w:p>
      <w:pPr>
        <w:keepNext w:val="0"/>
        <w:keepLines w:val="0"/>
        <w:pageBreakBefore w:val="0"/>
        <w:widowControl w:val="0"/>
        <w:kinsoku/>
        <w:wordWrap/>
        <w:overflowPunct/>
        <w:topLinePunct w:val="0"/>
        <w:bidi w:val="0"/>
        <w:spacing w:line="480" w:lineRule="exact"/>
        <w:ind w:firstLine="480" w:firstLineChars="200"/>
        <w:outlineLvl w:val="1"/>
        <w:rPr>
          <w:rFonts w:asciiTheme="minorEastAsia" w:hAnsiTheme="minorEastAsia" w:eastAsiaTheme="minorEastAsia"/>
          <w:color w:val="1E1C11" w:themeColor="background2" w:themeShade="1A"/>
          <w:spacing w:val="0"/>
        </w:rPr>
      </w:pPr>
      <w:r>
        <w:rPr>
          <w:rFonts w:hint="eastAsia" w:asciiTheme="minorEastAsia" w:hAnsiTheme="minorEastAsia" w:eastAsiaTheme="minorEastAsia"/>
          <w:color w:val="1E1C11" w:themeColor="background2" w:themeShade="1A"/>
          <w:spacing w:val="0"/>
        </w:rPr>
        <w:t>综上所述，本次土地评估采用市场比较法、成本</w:t>
      </w:r>
      <w:r>
        <w:rPr>
          <w:rFonts w:hint="eastAsia" w:asciiTheme="minorEastAsia" w:hAnsiTheme="minorEastAsia" w:eastAsiaTheme="minorEastAsia"/>
          <w:color w:val="1E1C11" w:themeColor="background2" w:themeShade="1A"/>
          <w:spacing w:val="0"/>
          <w:lang w:eastAsia="zh-CN"/>
        </w:rPr>
        <w:t>逼近</w:t>
      </w:r>
      <w:r>
        <w:rPr>
          <w:rFonts w:hint="eastAsia" w:asciiTheme="minorEastAsia" w:hAnsiTheme="minorEastAsia" w:eastAsiaTheme="minorEastAsia"/>
          <w:color w:val="1E1C11" w:themeColor="background2" w:themeShade="1A"/>
          <w:spacing w:val="0"/>
        </w:rPr>
        <w:t>法进行评估。</w:t>
      </w:r>
    </w:p>
    <w:p>
      <w:pPr>
        <w:pStyle w:val="8"/>
        <w:keepNext w:val="0"/>
        <w:keepLines w:val="0"/>
        <w:pageBreakBefore w:val="0"/>
        <w:widowControl w:val="0"/>
        <w:shd w:val="clear"/>
        <w:kinsoku/>
        <w:wordWrap/>
        <w:overflowPunct/>
        <w:topLinePunct w:val="0"/>
        <w:bidi w:val="0"/>
        <w:snapToGrid w:val="0"/>
        <w:spacing w:line="480" w:lineRule="exact"/>
        <w:ind w:left="0" w:firstLine="482" w:firstLineChars="20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2、建筑物计算方法选择：</w:t>
      </w:r>
    </w:p>
    <w:p>
      <w:pPr>
        <w:pStyle w:val="9"/>
        <w:keepNext w:val="0"/>
        <w:keepLines w:val="0"/>
        <w:pageBreakBefore w:val="0"/>
        <w:widowControl w:val="0"/>
        <w:shd w:val="clear"/>
        <w:kinsoku/>
        <w:wordWrap/>
        <w:overflowPunct/>
        <w:topLinePunct w:val="0"/>
        <w:autoSpaceDE w:val="0"/>
        <w:autoSpaceDN w:val="0"/>
        <w:bidi w:val="0"/>
        <w:adjustRightInd w:val="0"/>
        <w:snapToGrid w:val="0"/>
        <w:spacing w:line="480" w:lineRule="exact"/>
        <w:ind w:firstLine="480" w:firstLineChars="200"/>
        <w:textAlignment w:val="baseline"/>
        <w:rPr>
          <w:rFonts w:ascii="宋体" w:hAnsi="宋体"/>
          <w:color w:val="auto"/>
          <w:sz w:val="24"/>
          <w:szCs w:val="24"/>
        </w:rPr>
      </w:pPr>
      <w:r>
        <w:rPr>
          <w:rFonts w:hint="eastAsia" w:ascii="宋体" w:hAnsi="宋体"/>
          <w:color w:val="auto"/>
          <w:sz w:val="24"/>
          <w:szCs w:val="24"/>
        </w:rPr>
        <w:t>由于估价对象为工业用途的房地产，同一区域内类似房地产整体交易实例较少，故不宜采用比较法进行评估；又由于估价对象的客观潜在收益较难确定，故不宜采用收益法进行评估；</w:t>
      </w:r>
      <w:r>
        <w:rPr>
          <w:rFonts w:ascii="宋体" w:hAnsi="宋体"/>
          <w:color w:val="auto"/>
          <w:sz w:val="24"/>
          <w:szCs w:val="24"/>
        </w:rPr>
        <w:t>假设开发法适于对在建工程及空地估价，而估价对象为已完工工程，因此本次估价不宜采用假设开发法</w:t>
      </w:r>
      <w:r>
        <w:rPr>
          <w:rFonts w:hint="eastAsia" w:ascii="宋体" w:hAnsi="宋体"/>
          <w:color w:val="auto"/>
          <w:sz w:val="24"/>
          <w:szCs w:val="24"/>
        </w:rPr>
        <w:t>。通过对估价对象现状的分析，</w:t>
      </w:r>
      <w:r>
        <w:rPr>
          <w:rFonts w:hint="eastAsia" w:ascii="宋体" w:hAnsi="宋体"/>
          <w:color w:val="auto"/>
          <w:sz w:val="24"/>
          <w:szCs w:val="24"/>
          <w:lang w:eastAsia="zh-CN"/>
        </w:rPr>
        <w:t>结合合肥市</w:t>
      </w:r>
      <w:r>
        <w:rPr>
          <w:rFonts w:hint="eastAsia" w:ascii="宋体" w:hAnsi="宋体"/>
          <w:color w:val="auto"/>
          <w:sz w:val="24"/>
          <w:szCs w:val="24"/>
        </w:rPr>
        <w:t>房屋重置价资料，可以求取估价对象的积算价格。故本次估价建筑物采用成本法进行估价。</w:t>
      </w:r>
    </w:p>
    <w:p>
      <w:pPr>
        <w:pStyle w:val="9"/>
        <w:keepNext w:val="0"/>
        <w:keepLines w:val="0"/>
        <w:pageBreakBefore w:val="0"/>
        <w:widowControl w:val="0"/>
        <w:numPr>
          <w:ilvl w:val="0"/>
          <w:numId w:val="3"/>
        </w:numPr>
        <w:shd w:val="clear"/>
        <w:kinsoku/>
        <w:wordWrap/>
        <w:overflowPunct/>
        <w:topLinePunct w:val="0"/>
        <w:bidi w:val="0"/>
        <w:snapToGrid w:val="0"/>
        <w:spacing w:line="480" w:lineRule="exact"/>
        <w:ind w:firstLine="482" w:firstLineChars="200"/>
        <w:rPr>
          <w:rFonts w:hint="eastAsia" w:asciiTheme="minorEastAsia" w:hAnsiTheme="minorEastAsia"/>
          <w:b/>
          <w:bCs/>
          <w:color w:val="auto"/>
          <w:sz w:val="24"/>
          <w:lang w:val="en-US" w:eastAsia="zh-CN"/>
        </w:rPr>
      </w:pPr>
      <w:r>
        <w:rPr>
          <w:rFonts w:hint="eastAsia" w:asciiTheme="minorEastAsia" w:hAnsiTheme="minorEastAsia"/>
          <w:b/>
          <w:bCs/>
          <w:color w:val="auto"/>
          <w:sz w:val="24"/>
          <w:lang w:val="en-US" w:eastAsia="zh-CN"/>
        </w:rPr>
        <w:t>附属物计算方法的选择</w:t>
      </w:r>
    </w:p>
    <w:p>
      <w:pPr>
        <w:keepNext w:val="0"/>
        <w:keepLines w:val="0"/>
        <w:pageBreakBefore w:val="0"/>
        <w:widowControl w:val="0"/>
        <w:kinsoku/>
        <w:wordWrap/>
        <w:overflowPunct/>
        <w:topLinePunct w:val="0"/>
        <w:bidi w:val="0"/>
        <w:spacing w:line="480" w:lineRule="exact"/>
        <w:ind w:firstLine="480" w:firstLineChars="200"/>
        <w:outlineLvl w:val="1"/>
        <w:rPr>
          <w:rFonts w:hint="eastAsia" w:ascii="宋体" w:hAnsi="宋体" w:eastAsiaTheme="minorEastAsia" w:cstheme="minorBidi"/>
          <w:color w:val="auto"/>
          <w:spacing w:val="0"/>
          <w:kern w:val="2"/>
          <w:sz w:val="24"/>
          <w:szCs w:val="24"/>
          <w:lang w:val="en-US" w:eastAsia="zh-CN" w:bidi="ar-SA"/>
        </w:rPr>
      </w:pPr>
      <w:r>
        <w:rPr>
          <w:rFonts w:hint="eastAsia" w:ascii="宋体" w:hAnsi="宋体" w:eastAsiaTheme="minorEastAsia" w:cstheme="minorBidi"/>
          <w:color w:val="auto"/>
          <w:spacing w:val="0"/>
          <w:kern w:val="2"/>
          <w:sz w:val="24"/>
          <w:szCs w:val="24"/>
          <w:lang w:val="en-US" w:eastAsia="zh-CN" w:bidi="ar-SA"/>
        </w:rPr>
        <w:t>成本法测算的结果能较好反映估价对象重置价值，故本次评估对象附属物部分选用重置成本法进行评估；</w:t>
      </w:r>
    </w:p>
    <w:p>
      <w:pPr>
        <w:pStyle w:val="9"/>
        <w:keepNext w:val="0"/>
        <w:keepLines w:val="0"/>
        <w:pageBreakBefore w:val="0"/>
        <w:widowControl w:val="0"/>
        <w:shd w:val="clear"/>
        <w:kinsoku/>
        <w:wordWrap/>
        <w:overflowPunct/>
        <w:topLinePunct w:val="0"/>
        <w:bidi w:val="0"/>
        <w:snapToGrid w:val="0"/>
        <w:spacing w:line="480" w:lineRule="exact"/>
        <w:ind w:firstLine="482" w:firstLineChars="200"/>
        <w:rPr>
          <w:rFonts w:hint="eastAsia" w:asciiTheme="minorEastAsia" w:hAnsiTheme="minorEastAsia" w:eastAsiaTheme="minorEastAsia"/>
          <w:b/>
          <w:bCs/>
          <w:color w:val="auto"/>
          <w:sz w:val="24"/>
          <w:lang w:val="en-US" w:eastAsia="zh-CN"/>
        </w:rPr>
      </w:pPr>
      <w:r>
        <w:rPr>
          <w:rFonts w:hint="eastAsia" w:asciiTheme="minorEastAsia" w:hAnsiTheme="minorEastAsia"/>
          <w:b/>
          <w:bCs/>
          <w:color w:val="auto"/>
          <w:sz w:val="24"/>
          <w:lang w:val="en-US" w:eastAsia="zh-CN"/>
        </w:rPr>
        <w:t>4、绿化苗木及设备计算方法的选择</w:t>
      </w:r>
    </w:p>
    <w:p>
      <w:pPr>
        <w:keepNext w:val="0"/>
        <w:keepLines w:val="0"/>
        <w:pageBreakBefore w:val="0"/>
        <w:widowControl w:val="0"/>
        <w:kinsoku/>
        <w:wordWrap/>
        <w:overflowPunct/>
        <w:topLinePunct w:val="0"/>
        <w:bidi w:val="0"/>
        <w:spacing w:line="480" w:lineRule="exact"/>
        <w:ind w:firstLine="480" w:firstLineChars="200"/>
        <w:outlineLvl w:val="1"/>
        <w:rPr>
          <w:rFonts w:hint="eastAsia" w:asciiTheme="minorEastAsia" w:hAnsiTheme="minorEastAsia"/>
          <w:b/>
          <w:bCs/>
          <w:color w:val="auto"/>
          <w:sz w:val="24"/>
          <w:lang w:val="en-US" w:eastAsia="zh-CN"/>
        </w:rPr>
      </w:pPr>
      <w:r>
        <w:rPr>
          <w:rFonts w:hint="eastAsia" w:ascii="宋体" w:hAnsi="宋体" w:eastAsiaTheme="minorEastAsia" w:cstheme="minorBidi"/>
          <w:color w:val="auto"/>
          <w:spacing w:val="0"/>
          <w:kern w:val="2"/>
          <w:sz w:val="24"/>
          <w:szCs w:val="24"/>
          <w:lang w:val="en-US" w:eastAsia="zh-CN" w:bidi="ar-SA"/>
        </w:rPr>
        <w:t>估对象周边类似品种、规格苗木，类似设备交易市场活跃，有充足的市场交易案例，故绿化苗木及设备适宜采用市场比较法评估。</w:t>
      </w:r>
    </w:p>
    <w:p>
      <w:pPr>
        <w:keepNext w:val="0"/>
        <w:keepLines w:val="0"/>
        <w:pageBreakBefore w:val="0"/>
        <w:widowControl w:val="0"/>
        <w:kinsoku/>
        <w:wordWrap/>
        <w:overflowPunct/>
        <w:topLinePunct w:val="0"/>
        <w:bidi w:val="0"/>
        <w:spacing w:line="480" w:lineRule="exact"/>
        <w:ind w:firstLine="482" w:firstLineChars="200"/>
        <w:rPr>
          <w:rFonts w:asciiTheme="minorEastAsia" w:hAnsiTheme="minorEastAsia"/>
          <w:b/>
          <w:bCs/>
          <w:color w:val="auto"/>
          <w:sz w:val="24"/>
        </w:rPr>
      </w:pPr>
      <w:r>
        <w:rPr>
          <w:rFonts w:hint="eastAsia" w:asciiTheme="minorEastAsia" w:hAnsiTheme="minorEastAsia" w:eastAsiaTheme="minorEastAsia"/>
          <w:b/>
          <w:bCs/>
          <w:color w:val="1E1C11" w:themeColor="background2" w:themeShade="1A"/>
          <w:spacing w:val="0"/>
          <w:szCs w:val="24"/>
        </w:rPr>
        <w:t>(</w:t>
      </w:r>
      <w:r>
        <w:rPr>
          <w:rFonts w:hint="eastAsia" w:asciiTheme="minorEastAsia" w:hAnsiTheme="minorEastAsia" w:eastAsiaTheme="minorEastAsia"/>
          <w:b/>
          <w:bCs/>
          <w:color w:val="1E1C11" w:themeColor="background2" w:themeShade="1A"/>
          <w:spacing w:val="0"/>
          <w:szCs w:val="24"/>
          <w:lang w:eastAsia="zh-CN"/>
        </w:rPr>
        <w:t>二</w:t>
      </w:r>
      <w:r>
        <w:rPr>
          <w:rFonts w:hint="eastAsia" w:asciiTheme="minorEastAsia" w:hAnsiTheme="minorEastAsia" w:eastAsiaTheme="minorEastAsia"/>
          <w:b/>
          <w:bCs/>
          <w:color w:val="1E1C11" w:themeColor="background2" w:themeShade="1A"/>
          <w:spacing w:val="0"/>
          <w:szCs w:val="24"/>
        </w:rPr>
        <w:t>)</w:t>
      </w:r>
      <w:r>
        <w:rPr>
          <w:rFonts w:hint="eastAsia" w:asciiTheme="minorEastAsia" w:hAnsiTheme="minorEastAsia"/>
          <w:b/>
          <w:bCs/>
          <w:color w:val="auto"/>
          <w:sz w:val="24"/>
        </w:rPr>
        <w:t>估价方法的定义</w:t>
      </w:r>
    </w:p>
    <w:p>
      <w:pPr>
        <w:keepNext w:val="0"/>
        <w:keepLines w:val="0"/>
        <w:pageBreakBefore w:val="0"/>
        <w:widowControl w:val="0"/>
        <w:kinsoku/>
        <w:wordWrap/>
        <w:overflowPunct/>
        <w:topLinePunct w:val="0"/>
        <w:bidi w:val="0"/>
        <w:spacing w:line="480" w:lineRule="exact"/>
        <w:ind w:firstLine="480" w:firstLineChars="200"/>
        <w:outlineLvl w:val="1"/>
        <w:rPr>
          <w:rFonts w:hint="eastAsia" w:cs="Times New Roman" w:asciiTheme="minorEastAsia" w:hAnsiTheme="minorEastAsia" w:eastAsiaTheme="minorEastAsia"/>
          <w:color w:val="1E1C11" w:themeColor="background2" w:themeShade="1A"/>
          <w:spacing w:val="0"/>
          <w:lang w:val="en-US" w:eastAsia="zh-CN"/>
        </w:rPr>
      </w:pPr>
      <w:r>
        <w:rPr>
          <w:rFonts w:hint="eastAsia" w:cs="Times New Roman" w:asciiTheme="minorEastAsia" w:hAnsiTheme="minorEastAsia" w:eastAsiaTheme="minorEastAsia"/>
          <w:color w:val="1E1C11" w:themeColor="background2" w:themeShade="1A"/>
          <w:spacing w:val="0"/>
          <w:lang w:val="en-US" w:eastAsia="zh-CN"/>
        </w:rPr>
        <w:t>（1）市场比较法（土地）</w:t>
      </w:r>
    </w:p>
    <w:p>
      <w:pPr>
        <w:keepNext w:val="0"/>
        <w:keepLines w:val="0"/>
        <w:pageBreakBefore w:val="0"/>
        <w:widowControl w:val="0"/>
        <w:kinsoku/>
        <w:wordWrap/>
        <w:overflowPunct/>
        <w:topLinePunct w:val="0"/>
        <w:bidi w:val="0"/>
        <w:spacing w:line="480" w:lineRule="exact"/>
        <w:ind w:firstLine="480" w:firstLineChars="200"/>
        <w:outlineLvl w:val="1"/>
        <w:rPr>
          <w:rFonts w:hint="eastAsia" w:cs="Times New Roman" w:asciiTheme="minorEastAsia" w:hAnsiTheme="minorEastAsia" w:eastAsiaTheme="minorEastAsia"/>
          <w:color w:val="1E1C11" w:themeColor="background2" w:themeShade="1A"/>
          <w:spacing w:val="0"/>
          <w:lang w:val="en-US" w:eastAsia="zh-CN"/>
        </w:rPr>
      </w:pPr>
      <w:r>
        <w:rPr>
          <w:rFonts w:hint="eastAsia" w:cs="Times New Roman" w:asciiTheme="minorEastAsia" w:hAnsiTheme="minorEastAsia" w:eastAsiaTheme="minorEastAsia"/>
          <w:color w:val="1E1C11" w:themeColor="background2" w:themeShade="1A"/>
          <w:spacing w:val="0"/>
          <w:lang w:val="en-US" w:eastAsia="zh-CN"/>
        </w:rPr>
        <w:t>根据市场中的替代原理，将待估宗地与具有替代性的，且在估价期日近期市场上交易的类似地产进行比较，并对类似地产的成交价格作适当修正，以此估算待估宗地客观合理价格的方法。</w:t>
      </w:r>
    </w:p>
    <w:p>
      <w:pPr>
        <w:keepNext w:val="0"/>
        <w:keepLines w:val="0"/>
        <w:pageBreakBefore w:val="0"/>
        <w:widowControl w:val="0"/>
        <w:kinsoku/>
        <w:wordWrap/>
        <w:overflowPunct/>
        <w:topLinePunct w:val="0"/>
        <w:bidi w:val="0"/>
        <w:spacing w:line="480" w:lineRule="exact"/>
        <w:ind w:firstLine="480" w:firstLineChars="200"/>
        <w:outlineLvl w:val="1"/>
        <w:rPr>
          <w:rFonts w:hint="eastAsia" w:cs="Times New Roman" w:asciiTheme="minorEastAsia" w:hAnsiTheme="minorEastAsia" w:eastAsiaTheme="minorEastAsia"/>
          <w:color w:val="1E1C11" w:themeColor="background2" w:themeShade="1A"/>
          <w:spacing w:val="0"/>
          <w:lang w:val="en-US" w:eastAsia="zh-CN"/>
        </w:rPr>
      </w:pPr>
      <w:r>
        <w:rPr>
          <w:rFonts w:hint="eastAsia" w:cs="Times New Roman" w:asciiTheme="minorEastAsia" w:hAnsiTheme="minorEastAsia" w:eastAsiaTheme="minorEastAsia"/>
          <w:color w:val="1E1C11" w:themeColor="background2" w:themeShade="1A"/>
          <w:spacing w:val="0"/>
          <w:lang w:val="en-US" w:eastAsia="zh-CN"/>
        </w:rPr>
        <w:t>计算公式：Ⅴ=ⅤВ×A×B×D×E</w:t>
      </w:r>
    </w:p>
    <w:p>
      <w:pPr>
        <w:keepNext w:val="0"/>
        <w:keepLines w:val="0"/>
        <w:pageBreakBefore w:val="0"/>
        <w:widowControl w:val="0"/>
        <w:kinsoku/>
        <w:wordWrap/>
        <w:overflowPunct/>
        <w:topLinePunct w:val="0"/>
        <w:bidi w:val="0"/>
        <w:spacing w:line="480" w:lineRule="exact"/>
        <w:ind w:firstLine="480" w:firstLineChars="200"/>
        <w:outlineLvl w:val="1"/>
        <w:rPr>
          <w:rFonts w:hint="eastAsia" w:cs="Times New Roman" w:asciiTheme="minorEastAsia" w:hAnsiTheme="minorEastAsia" w:eastAsiaTheme="minorEastAsia"/>
          <w:color w:val="1E1C11" w:themeColor="background2" w:themeShade="1A"/>
          <w:spacing w:val="0"/>
          <w:lang w:val="en-US" w:eastAsia="zh-CN"/>
        </w:rPr>
      </w:pPr>
      <w:r>
        <w:rPr>
          <w:rFonts w:hint="eastAsia" w:cs="Times New Roman" w:asciiTheme="minorEastAsia" w:hAnsiTheme="minorEastAsia" w:eastAsiaTheme="minorEastAsia"/>
          <w:color w:val="1E1C11" w:themeColor="background2" w:themeShade="1A"/>
          <w:spacing w:val="0"/>
          <w:lang w:val="en-US" w:eastAsia="zh-CN"/>
        </w:rPr>
        <w:t>式中：</w:t>
      </w:r>
    </w:p>
    <w:p>
      <w:pPr>
        <w:keepNext w:val="0"/>
        <w:keepLines w:val="0"/>
        <w:pageBreakBefore w:val="0"/>
        <w:widowControl w:val="0"/>
        <w:kinsoku/>
        <w:wordWrap/>
        <w:overflowPunct/>
        <w:topLinePunct w:val="0"/>
        <w:bidi w:val="0"/>
        <w:spacing w:line="480" w:lineRule="exact"/>
        <w:ind w:firstLine="480" w:firstLineChars="200"/>
        <w:outlineLvl w:val="1"/>
        <w:rPr>
          <w:rFonts w:hint="eastAsia" w:cs="Times New Roman" w:asciiTheme="minorEastAsia" w:hAnsiTheme="minorEastAsia" w:eastAsiaTheme="minorEastAsia"/>
          <w:color w:val="1E1C11" w:themeColor="background2" w:themeShade="1A"/>
          <w:spacing w:val="0"/>
          <w:lang w:val="en-US" w:eastAsia="zh-CN"/>
        </w:rPr>
      </w:pPr>
      <w:r>
        <w:rPr>
          <w:rFonts w:hint="eastAsia" w:cs="Times New Roman" w:asciiTheme="minorEastAsia" w:hAnsiTheme="minorEastAsia" w:eastAsiaTheme="minorEastAsia"/>
          <w:color w:val="1E1C11" w:themeColor="background2" w:themeShade="1A"/>
          <w:spacing w:val="0"/>
          <w:lang w:val="en-US" w:eastAsia="zh-CN"/>
        </w:rPr>
        <w:t>Ⅴ—待估宗地价格</w:t>
      </w:r>
    </w:p>
    <w:p>
      <w:pPr>
        <w:keepNext w:val="0"/>
        <w:keepLines w:val="0"/>
        <w:pageBreakBefore w:val="0"/>
        <w:widowControl w:val="0"/>
        <w:kinsoku/>
        <w:wordWrap/>
        <w:overflowPunct/>
        <w:topLinePunct w:val="0"/>
        <w:bidi w:val="0"/>
        <w:spacing w:line="480" w:lineRule="exact"/>
        <w:ind w:firstLine="480" w:firstLineChars="200"/>
        <w:outlineLvl w:val="1"/>
        <w:rPr>
          <w:rFonts w:hint="eastAsia" w:cs="Times New Roman" w:asciiTheme="minorEastAsia" w:hAnsiTheme="minorEastAsia" w:eastAsiaTheme="minorEastAsia"/>
          <w:color w:val="1E1C11" w:themeColor="background2" w:themeShade="1A"/>
          <w:spacing w:val="0"/>
          <w:lang w:val="en-US" w:eastAsia="zh-CN"/>
        </w:rPr>
      </w:pPr>
      <w:r>
        <w:rPr>
          <w:rFonts w:hint="eastAsia" w:cs="Times New Roman" w:asciiTheme="minorEastAsia" w:hAnsiTheme="minorEastAsia" w:eastAsiaTheme="minorEastAsia"/>
          <w:color w:val="1E1C11" w:themeColor="background2" w:themeShade="1A"/>
          <w:spacing w:val="0"/>
          <w:lang w:val="en-US" w:eastAsia="zh-CN"/>
        </w:rPr>
        <w:t>ⅤВ—比较实例价格</w:t>
      </w:r>
    </w:p>
    <w:p>
      <w:pPr>
        <w:keepNext w:val="0"/>
        <w:keepLines w:val="0"/>
        <w:pageBreakBefore w:val="0"/>
        <w:widowControl w:val="0"/>
        <w:kinsoku/>
        <w:wordWrap/>
        <w:overflowPunct/>
        <w:topLinePunct w:val="0"/>
        <w:bidi w:val="0"/>
        <w:spacing w:line="480" w:lineRule="exact"/>
        <w:ind w:firstLine="480" w:firstLineChars="200"/>
        <w:outlineLvl w:val="1"/>
        <w:rPr>
          <w:rFonts w:hint="eastAsia" w:cs="Times New Roman" w:asciiTheme="minorEastAsia" w:hAnsiTheme="minorEastAsia" w:eastAsiaTheme="minorEastAsia"/>
          <w:color w:val="1E1C11" w:themeColor="background2" w:themeShade="1A"/>
          <w:spacing w:val="0"/>
          <w:lang w:val="en-US" w:eastAsia="zh-CN"/>
        </w:rPr>
      </w:pPr>
      <w:r>
        <w:rPr>
          <w:rFonts w:hint="eastAsia" w:cs="Times New Roman" w:asciiTheme="minorEastAsia" w:hAnsiTheme="minorEastAsia" w:eastAsiaTheme="minorEastAsia"/>
          <w:color w:val="1E1C11" w:themeColor="background2" w:themeShade="1A"/>
          <w:spacing w:val="0"/>
          <w:lang w:val="en-US" w:eastAsia="zh-CN"/>
        </w:rPr>
        <w:t>A—待估宗地情况指数/比较实例宗地情况指数=正常情况指数/比较实例宗地情况指数</w:t>
      </w:r>
    </w:p>
    <w:p>
      <w:pPr>
        <w:keepNext w:val="0"/>
        <w:keepLines w:val="0"/>
        <w:pageBreakBefore w:val="0"/>
        <w:widowControl w:val="0"/>
        <w:kinsoku/>
        <w:wordWrap/>
        <w:overflowPunct/>
        <w:topLinePunct w:val="0"/>
        <w:bidi w:val="0"/>
        <w:spacing w:line="480" w:lineRule="exact"/>
        <w:ind w:firstLine="480" w:firstLineChars="200"/>
        <w:outlineLvl w:val="1"/>
        <w:rPr>
          <w:rFonts w:hint="eastAsia" w:cs="Times New Roman" w:asciiTheme="minorEastAsia" w:hAnsiTheme="minorEastAsia" w:eastAsiaTheme="minorEastAsia"/>
          <w:color w:val="1E1C11" w:themeColor="background2" w:themeShade="1A"/>
          <w:spacing w:val="0"/>
          <w:lang w:val="en-US" w:eastAsia="zh-CN"/>
        </w:rPr>
      </w:pPr>
      <w:r>
        <w:rPr>
          <w:rFonts w:hint="eastAsia" w:cs="Times New Roman" w:asciiTheme="minorEastAsia" w:hAnsiTheme="minorEastAsia" w:eastAsiaTheme="minorEastAsia"/>
          <w:color w:val="1E1C11" w:themeColor="background2" w:themeShade="1A"/>
          <w:spacing w:val="0"/>
          <w:lang w:val="en-US" w:eastAsia="zh-CN"/>
        </w:rPr>
        <w:t>B—待估宗地估价期日地价指数/比较实例宗地交易日期地价指数</w:t>
      </w:r>
    </w:p>
    <w:p>
      <w:pPr>
        <w:keepNext w:val="0"/>
        <w:keepLines w:val="0"/>
        <w:pageBreakBefore w:val="0"/>
        <w:widowControl w:val="0"/>
        <w:kinsoku/>
        <w:wordWrap/>
        <w:overflowPunct/>
        <w:topLinePunct w:val="0"/>
        <w:bidi w:val="0"/>
        <w:spacing w:line="480" w:lineRule="exact"/>
        <w:ind w:firstLine="480" w:firstLineChars="200"/>
        <w:outlineLvl w:val="1"/>
        <w:rPr>
          <w:rFonts w:hint="eastAsia" w:cs="Times New Roman" w:asciiTheme="minorEastAsia" w:hAnsiTheme="minorEastAsia" w:eastAsiaTheme="minorEastAsia"/>
          <w:color w:val="1E1C11" w:themeColor="background2" w:themeShade="1A"/>
          <w:spacing w:val="0"/>
          <w:lang w:val="en-US" w:eastAsia="zh-CN"/>
        </w:rPr>
      </w:pPr>
      <w:r>
        <w:rPr>
          <w:rFonts w:hint="eastAsia" w:cs="Times New Roman" w:asciiTheme="minorEastAsia" w:hAnsiTheme="minorEastAsia" w:eastAsiaTheme="minorEastAsia"/>
          <w:color w:val="1E1C11" w:themeColor="background2" w:themeShade="1A"/>
          <w:spacing w:val="0"/>
          <w:lang w:val="en-US" w:eastAsia="zh-CN"/>
        </w:rPr>
        <w:t>D —待估宗地区域因素条件指数/比较实例宗地区域因素条件指数</w:t>
      </w:r>
    </w:p>
    <w:p>
      <w:pPr>
        <w:keepNext w:val="0"/>
        <w:keepLines w:val="0"/>
        <w:pageBreakBefore w:val="0"/>
        <w:widowControl w:val="0"/>
        <w:kinsoku/>
        <w:wordWrap/>
        <w:overflowPunct/>
        <w:topLinePunct w:val="0"/>
        <w:bidi w:val="0"/>
        <w:spacing w:line="480" w:lineRule="exact"/>
        <w:ind w:firstLine="480" w:firstLineChars="200"/>
        <w:outlineLvl w:val="1"/>
        <w:rPr>
          <w:rFonts w:hint="eastAsia" w:cs="Times New Roman" w:asciiTheme="minorEastAsia" w:hAnsiTheme="minorEastAsia" w:eastAsiaTheme="minorEastAsia"/>
          <w:color w:val="1E1C11" w:themeColor="background2" w:themeShade="1A"/>
          <w:spacing w:val="0"/>
          <w:lang w:val="en-US" w:eastAsia="zh-CN"/>
        </w:rPr>
      </w:pPr>
      <w:r>
        <w:rPr>
          <w:rFonts w:hint="eastAsia" w:cs="Times New Roman" w:asciiTheme="minorEastAsia" w:hAnsiTheme="minorEastAsia" w:eastAsiaTheme="minorEastAsia"/>
          <w:color w:val="1E1C11" w:themeColor="background2" w:themeShade="1A"/>
          <w:spacing w:val="0"/>
          <w:lang w:val="en-US" w:eastAsia="zh-CN"/>
        </w:rPr>
        <w:t>E—待估宗地个别因素条件指数/比较实例宗地个别因素条件指数</w:t>
      </w:r>
    </w:p>
    <w:p>
      <w:pPr>
        <w:keepNext w:val="0"/>
        <w:keepLines w:val="0"/>
        <w:pageBreakBefore w:val="0"/>
        <w:widowControl w:val="0"/>
        <w:kinsoku/>
        <w:wordWrap/>
        <w:overflowPunct/>
        <w:topLinePunct w:val="0"/>
        <w:bidi w:val="0"/>
        <w:spacing w:line="480" w:lineRule="exact"/>
        <w:ind w:firstLine="480" w:firstLineChars="200"/>
        <w:outlineLvl w:val="1"/>
        <w:rPr>
          <w:rFonts w:hint="eastAsia" w:cs="Times New Roman" w:asciiTheme="minorEastAsia" w:hAnsiTheme="minorEastAsia" w:eastAsiaTheme="minorEastAsia"/>
          <w:color w:val="1E1C11" w:themeColor="background2" w:themeShade="1A"/>
          <w:spacing w:val="0"/>
        </w:rPr>
      </w:pPr>
      <w:r>
        <w:rPr>
          <w:rFonts w:hint="eastAsia" w:cs="Times New Roman" w:asciiTheme="minorEastAsia" w:hAnsiTheme="minorEastAsia" w:eastAsiaTheme="minorEastAsia"/>
          <w:color w:val="1E1C11" w:themeColor="background2" w:themeShade="1A"/>
          <w:spacing w:val="0"/>
          <w:lang w:val="en-US" w:eastAsia="zh-CN"/>
        </w:rPr>
        <w:t>（2）</w:t>
      </w:r>
      <w:r>
        <w:rPr>
          <w:rFonts w:hint="eastAsia" w:cs="Times New Roman" w:asciiTheme="minorEastAsia" w:hAnsiTheme="minorEastAsia" w:eastAsiaTheme="minorEastAsia"/>
          <w:color w:val="1E1C11" w:themeColor="background2" w:themeShade="1A"/>
          <w:spacing w:val="0"/>
        </w:rPr>
        <w:t>成本</w:t>
      </w:r>
      <w:r>
        <w:rPr>
          <w:rFonts w:hint="eastAsia" w:cs="Times New Roman" w:asciiTheme="minorEastAsia" w:hAnsiTheme="minorEastAsia" w:eastAsiaTheme="minorEastAsia"/>
          <w:color w:val="1E1C11" w:themeColor="background2" w:themeShade="1A"/>
          <w:spacing w:val="0"/>
          <w:lang w:eastAsia="zh-CN"/>
        </w:rPr>
        <w:t>逼近</w:t>
      </w:r>
      <w:r>
        <w:rPr>
          <w:rFonts w:hint="eastAsia" w:cs="Times New Roman" w:asciiTheme="minorEastAsia" w:hAnsiTheme="minorEastAsia" w:eastAsiaTheme="minorEastAsia"/>
          <w:color w:val="1E1C11" w:themeColor="background2" w:themeShade="1A"/>
          <w:spacing w:val="0"/>
        </w:rPr>
        <w:t>法</w:t>
      </w:r>
      <w:r>
        <w:rPr>
          <w:rFonts w:hint="eastAsia" w:cs="Times New Roman" w:asciiTheme="minorEastAsia" w:hAnsiTheme="minorEastAsia" w:eastAsiaTheme="minorEastAsia"/>
          <w:color w:val="1E1C11" w:themeColor="background2" w:themeShade="1A"/>
          <w:spacing w:val="0"/>
          <w:lang w:eastAsia="zh-CN"/>
        </w:rPr>
        <w:t>（土地）</w:t>
      </w:r>
      <w:r>
        <w:rPr>
          <w:rFonts w:hint="eastAsia" w:cs="Times New Roman" w:asciiTheme="minorEastAsia" w:hAnsiTheme="minorEastAsia" w:eastAsiaTheme="minorEastAsia"/>
          <w:color w:val="1E1C11" w:themeColor="background2" w:themeShade="1A"/>
          <w:spacing w:val="0"/>
        </w:rPr>
        <w:t>：成本</w:t>
      </w:r>
      <w:r>
        <w:rPr>
          <w:rFonts w:hint="eastAsia" w:cs="Times New Roman" w:asciiTheme="minorEastAsia" w:hAnsiTheme="minorEastAsia" w:eastAsiaTheme="minorEastAsia"/>
          <w:color w:val="1E1C11" w:themeColor="background2" w:themeShade="1A"/>
          <w:spacing w:val="0"/>
          <w:lang w:eastAsia="zh-CN"/>
        </w:rPr>
        <w:t>逼近</w:t>
      </w:r>
      <w:r>
        <w:rPr>
          <w:rFonts w:hint="eastAsia" w:cs="Times New Roman" w:asciiTheme="minorEastAsia" w:hAnsiTheme="minorEastAsia" w:eastAsiaTheme="minorEastAsia"/>
          <w:color w:val="1E1C11" w:themeColor="background2" w:themeShade="1A"/>
          <w:spacing w:val="0"/>
        </w:rPr>
        <w:t>法是以土地取得费、土地开发所耗各项费用之和为主要依据，再加上一定的利润、利息、应缴纳的税金和土地使用权出让金或土地增值收益来确定土地价格的估价方法。</w:t>
      </w:r>
    </w:p>
    <w:p>
      <w:pPr>
        <w:keepNext w:val="0"/>
        <w:keepLines w:val="0"/>
        <w:pageBreakBefore w:val="0"/>
        <w:widowControl w:val="0"/>
        <w:kinsoku/>
        <w:wordWrap/>
        <w:overflowPunct/>
        <w:topLinePunct w:val="0"/>
        <w:bidi w:val="0"/>
        <w:spacing w:line="480" w:lineRule="exact"/>
        <w:ind w:firstLine="480" w:firstLineChars="200"/>
        <w:outlineLvl w:val="1"/>
        <w:rPr>
          <w:rFonts w:hint="eastAsia" w:cs="Times New Roman" w:asciiTheme="minorEastAsia" w:hAnsiTheme="minorEastAsia" w:eastAsiaTheme="minorEastAsia"/>
          <w:color w:val="1E1C11" w:themeColor="background2" w:themeShade="1A"/>
          <w:spacing w:val="0"/>
          <w:lang w:val="en-US" w:eastAsia="zh-CN"/>
        </w:rPr>
      </w:pPr>
      <w:r>
        <w:rPr>
          <w:rFonts w:hint="eastAsia" w:cs="Times New Roman" w:asciiTheme="minorEastAsia" w:hAnsiTheme="minorEastAsia" w:eastAsiaTheme="minorEastAsia"/>
          <w:color w:val="1E1C11" w:themeColor="background2" w:themeShade="1A"/>
          <w:spacing w:val="0"/>
        </w:rPr>
        <w:t>其计算公式为：土地价格=土地取得费+土地开发费+税费+投资利息+投资利润+土地出让金(或土地增值收益)</w:t>
      </w:r>
    </w:p>
    <w:p>
      <w:pPr>
        <w:keepNext w:val="0"/>
        <w:keepLines w:val="0"/>
        <w:pageBreakBefore w:val="0"/>
        <w:widowControl w:val="0"/>
        <w:kinsoku/>
        <w:wordWrap/>
        <w:overflowPunct/>
        <w:topLinePunct w:val="0"/>
        <w:bidi w:val="0"/>
        <w:spacing w:line="480" w:lineRule="exact"/>
        <w:ind w:firstLine="480" w:firstLineChars="200"/>
        <w:outlineLvl w:val="1"/>
        <w:rPr>
          <w:rFonts w:hint="eastAsia" w:cs="Times New Roman" w:asciiTheme="minorEastAsia" w:hAnsiTheme="minorEastAsia" w:eastAsiaTheme="minorEastAsia"/>
          <w:color w:val="1E1C11" w:themeColor="background2" w:themeShade="1A"/>
          <w:spacing w:val="0"/>
          <w:lang w:val="en-US" w:eastAsia="zh-CN"/>
        </w:rPr>
      </w:pPr>
      <w:r>
        <w:rPr>
          <w:rFonts w:hint="eastAsia" w:cs="Times New Roman" w:asciiTheme="minorEastAsia" w:hAnsiTheme="minorEastAsia" w:eastAsiaTheme="minorEastAsia"/>
          <w:color w:val="1E1C11" w:themeColor="background2" w:themeShade="1A"/>
          <w:spacing w:val="0"/>
          <w:lang w:val="en-US" w:eastAsia="zh-CN"/>
        </w:rPr>
        <w:t>（3）重置成本法（附属物）</w:t>
      </w:r>
    </w:p>
    <w:p>
      <w:pPr>
        <w:keepNext w:val="0"/>
        <w:keepLines w:val="0"/>
        <w:pageBreakBefore w:val="0"/>
        <w:widowControl w:val="0"/>
        <w:kinsoku/>
        <w:wordWrap/>
        <w:overflowPunct/>
        <w:topLinePunct w:val="0"/>
        <w:bidi w:val="0"/>
        <w:spacing w:line="480" w:lineRule="exact"/>
        <w:ind w:firstLine="480" w:firstLineChars="200"/>
        <w:outlineLvl w:val="1"/>
        <w:rPr>
          <w:rFonts w:hint="eastAsia" w:cs="Times New Roman" w:asciiTheme="minorEastAsia" w:hAnsiTheme="minorEastAsia" w:eastAsiaTheme="minorEastAsia"/>
          <w:color w:val="1E1C11" w:themeColor="background2" w:themeShade="1A"/>
          <w:spacing w:val="0"/>
          <w:lang w:val="en-US" w:eastAsia="zh-CN"/>
        </w:rPr>
      </w:pPr>
      <w:r>
        <w:rPr>
          <w:rFonts w:hint="eastAsia" w:cs="Times New Roman" w:asciiTheme="minorEastAsia" w:hAnsiTheme="minorEastAsia" w:eastAsiaTheme="minorEastAsia"/>
          <w:color w:val="1E1C11" w:themeColor="background2" w:themeShade="1A"/>
          <w:spacing w:val="0"/>
          <w:lang w:val="en-US" w:eastAsia="zh-CN"/>
        </w:rPr>
        <w:t>重置成本法是求取估价对象在价值时点的重置价格或重建价格和折旧，然后将重置价格或重建价格减去折旧来求取估价对象价值的方法。</w:t>
      </w:r>
    </w:p>
    <w:p>
      <w:pPr>
        <w:keepNext w:val="0"/>
        <w:keepLines w:val="0"/>
        <w:pageBreakBefore w:val="0"/>
        <w:widowControl w:val="0"/>
        <w:kinsoku/>
        <w:wordWrap/>
        <w:overflowPunct/>
        <w:topLinePunct w:val="0"/>
        <w:bidi w:val="0"/>
        <w:spacing w:line="480" w:lineRule="exact"/>
        <w:ind w:firstLine="480" w:firstLineChars="200"/>
        <w:outlineLvl w:val="1"/>
        <w:rPr>
          <w:rFonts w:hint="eastAsia" w:cs="Times New Roman" w:asciiTheme="minorEastAsia" w:hAnsiTheme="minorEastAsia" w:eastAsiaTheme="minorEastAsia"/>
          <w:color w:val="1E1C11" w:themeColor="background2" w:themeShade="1A"/>
          <w:spacing w:val="0"/>
          <w:lang w:val="en-US" w:eastAsia="zh-CN"/>
        </w:rPr>
      </w:pPr>
      <w:r>
        <w:rPr>
          <w:rFonts w:hint="eastAsia" w:cs="Times New Roman" w:asciiTheme="minorEastAsia" w:hAnsiTheme="minorEastAsia" w:eastAsiaTheme="minorEastAsia"/>
          <w:color w:val="1E1C11" w:themeColor="background2" w:themeShade="1A"/>
          <w:spacing w:val="0"/>
          <w:lang w:val="en-US" w:eastAsia="zh-CN"/>
        </w:rPr>
        <w:t>（4）市场法（绿化苗木及设备）</w:t>
      </w:r>
    </w:p>
    <w:p>
      <w:pPr>
        <w:keepNext w:val="0"/>
        <w:keepLines w:val="0"/>
        <w:pageBreakBefore w:val="0"/>
        <w:widowControl w:val="0"/>
        <w:kinsoku/>
        <w:wordWrap/>
        <w:overflowPunct/>
        <w:topLinePunct w:val="0"/>
        <w:bidi w:val="0"/>
        <w:spacing w:line="480" w:lineRule="exact"/>
        <w:ind w:firstLine="480" w:firstLineChars="200"/>
        <w:outlineLvl w:val="1"/>
        <w:rPr>
          <w:rFonts w:hint="eastAsia" w:cs="Times New Roman" w:asciiTheme="minorEastAsia" w:hAnsiTheme="minorEastAsia" w:eastAsiaTheme="minorEastAsia"/>
          <w:color w:val="1E1C11" w:themeColor="background2" w:themeShade="1A"/>
          <w:spacing w:val="0"/>
          <w:lang w:val="en-US" w:eastAsia="zh-CN"/>
        </w:rPr>
      </w:pPr>
      <w:r>
        <w:rPr>
          <w:rFonts w:hint="eastAsia" w:cs="Times New Roman" w:asciiTheme="minorEastAsia" w:hAnsiTheme="minorEastAsia" w:eastAsiaTheme="minorEastAsia"/>
          <w:color w:val="1E1C11" w:themeColor="background2" w:themeShade="1A"/>
          <w:spacing w:val="0"/>
          <w:lang w:val="en-US" w:eastAsia="zh-CN"/>
        </w:rPr>
        <w:t>苗木采用市场法进行评估，市场法是根据市场中的替代原理，将待估标的与具有替代性的，且在估价时点近期市场上交易的类似物进行比较，并对类似物的成交价格作适当修正，以此估算待估物客观合理价格的方法。</w:t>
      </w:r>
    </w:p>
    <w:p>
      <w:pPr>
        <w:keepNext w:val="0"/>
        <w:keepLines w:val="0"/>
        <w:pageBreakBefore w:val="0"/>
        <w:widowControl w:val="0"/>
        <w:kinsoku/>
        <w:wordWrap/>
        <w:overflowPunct/>
        <w:topLinePunct w:val="0"/>
        <w:bidi w:val="0"/>
        <w:spacing w:line="480" w:lineRule="exact"/>
        <w:ind w:firstLine="480" w:firstLineChars="200"/>
        <w:outlineLvl w:val="1"/>
        <w:rPr>
          <w:rFonts w:hint="eastAsia" w:cs="Times New Roman" w:asciiTheme="minorEastAsia" w:hAnsiTheme="minorEastAsia" w:eastAsiaTheme="minorEastAsia"/>
          <w:color w:val="1E1C11" w:themeColor="background2" w:themeShade="1A"/>
          <w:spacing w:val="0"/>
          <w:lang w:val="en-US" w:eastAsia="zh-CN"/>
        </w:rPr>
      </w:pPr>
      <w:r>
        <w:rPr>
          <w:rFonts w:hint="eastAsia" w:ascii="宋体" w:hAnsi="宋体" w:eastAsiaTheme="minorEastAsia" w:cstheme="minorBidi"/>
          <w:color w:val="auto"/>
          <w:spacing w:val="0"/>
          <w:kern w:val="2"/>
          <w:sz w:val="24"/>
          <w:szCs w:val="24"/>
          <w:lang w:val="en-US" w:eastAsia="zh-CN" w:bidi="ar-SA"/>
        </w:rPr>
        <w:t>估对象周边类似品种、规格苗木，类似设备交易市场活跃，有充足的市场交易案例，故绿化苗木及设备适宜采用市场比较法评估。</w:t>
      </w:r>
    </w:p>
    <w:p>
      <w:pPr>
        <w:pStyle w:val="8"/>
        <w:shd w:val="clear"/>
        <w:spacing w:line="520" w:lineRule="exact"/>
        <w:ind w:left="0"/>
        <w:rPr>
          <w:rFonts w:asciiTheme="minorEastAsia" w:hAnsiTheme="minorEastAsia" w:eastAsiaTheme="minorEastAsia"/>
          <w:color w:val="auto"/>
          <w:sz w:val="24"/>
        </w:rPr>
      </w:pPr>
      <w:r>
        <w:rPr>
          <w:rFonts w:hint="eastAsia" w:asciiTheme="minorEastAsia" w:hAnsiTheme="minorEastAsia" w:eastAsiaTheme="minorEastAsia"/>
          <w:b/>
          <w:color w:val="auto"/>
          <w:sz w:val="24"/>
        </w:rPr>
        <w:t>十、估价结果</w:t>
      </w:r>
    </w:p>
    <w:p>
      <w:pPr>
        <w:pStyle w:val="9"/>
        <w:keepNext w:val="0"/>
        <w:keepLines w:val="0"/>
        <w:pageBreakBefore w:val="0"/>
        <w:widowControl w:val="0"/>
        <w:shd w:val="clear"/>
        <w:kinsoku/>
        <w:wordWrap/>
        <w:overflowPunct/>
        <w:topLinePunct w:val="0"/>
        <w:autoSpaceDE w:val="0"/>
        <w:autoSpaceDN w:val="0"/>
        <w:bidi w:val="0"/>
        <w:adjustRightInd w:val="0"/>
        <w:snapToGrid w:val="0"/>
        <w:spacing w:line="560" w:lineRule="exact"/>
        <w:ind w:firstLine="480" w:firstLineChars="200"/>
        <w:textAlignment w:val="baseline"/>
        <w:rPr>
          <w:rFonts w:hint="eastAsia" w:ascii="宋体" w:hAnsi="宋体"/>
          <w:color w:val="auto"/>
          <w:sz w:val="24"/>
          <w:szCs w:val="24"/>
        </w:rPr>
      </w:pPr>
      <w:r>
        <w:rPr>
          <w:rFonts w:hint="eastAsia" w:ascii="宋体" w:hAnsi="宋体"/>
          <w:color w:val="auto"/>
          <w:sz w:val="24"/>
          <w:szCs w:val="24"/>
        </w:rPr>
        <w:t>房地产估价师根据估价目的，遵循估价原则，按照估价工作程序，采用科学合理的估价方法，经过周密准确的测算，并结合估价经验，详细考虑了影响房地产价格的各项因素，确定估价对象在满足估价报告的假设和限制条件下，于价值时点</w:t>
      </w:r>
      <w:r>
        <w:rPr>
          <w:rFonts w:hint="eastAsia" w:ascii="宋体" w:hAnsi="宋体"/>
          <w:color w:val="auto"/>
          <w:sz w:val="24"/>
          <w:szCs w:val="24"/>
          <w:lang w:eastAsia="zh-CN"/>
        </w:rPr>
        <w:t>2023年09月13日</w:t>
      </w:r>
      <w:r>
        <w:rPr>
          <w:rFonts w:hint="eastAsia" w:ascii="宋体" w:hAnsi="宋体"/>
          <w:color w:val="auto"/>
          <w:sz w:val="24"/>
          <w:szCs w:val="24"/>
        </w:rPr>
        <w:t>的市场价值为：</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asciiTheme="minorEastAsia" w:hAnsiTheme="minorEastAsia" w:eastAsiaTheme="minorEastAsia"/>
          <w:color w:val="auto"/>
          <w:spacing w:val="0"/>
          <w:szCs w:val="24"/>
        </w:rPr>
      </w:pPr>
      <w:r>
        <w:rPr>
          <w:rFonts w:hint="eastAsia" w:asciiTheme="minorEastAsia" w:hAnsiTheme="minorEastAsia" w:eastAsiaTheme="minorEastAsia"/>
          <w:color w:val="auto"/>
          <w:spacing w:val="0"/>
          <w:szCs w:val="24"/>
        </w:rPr>
        <w:t>房地产评估总价：￥</w:t>
      </w:r>
      <w:r>
        <w:rPr>
          <w:rFonts w:hint="eastAsia" w:asciiTheme="minorEastAsia" w:hAnsiTheme="minorEastAsia" w:eastAsiaTheme="minorEastAsia"/>
          <w:color w:val="auto"/>
          <w:spacing w:val="0"/>
          <w:szCs w:val="24"/>
          <w:lang w:val="en-US" w:eastAsia="zh-CN"/>
        </w:rPr>
        <w:t>18089108</w:t>
      </w:r>
      <w:r>
        <w:rPr>
          <w:rFonts w:hint="eastAsia" w:asciiTheme="minorEastAsia" w:hAnsiTheme="minorEastAsia" w:eastAsiaTheme="minorEastAsia"/>
          <w:color w:val="auto"/>
          <w:spacing w:val="0"/>
          <w:szCs w:val="24"/>
        </w:rPr>
        <w:t>元</w:t>
      </w:r>
    </w:p>
    <w:p>
      <w:pPr>
        <w:keepNext w:val="0"/>
        <w:keepLines w:val="0"/>
        <w:pageBreakBefore w:val="0"/>
        <w:widowControl w:val="0"/>
        <w:shd w:val="clear"/>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olor w:val="auto"/>
          <w:spacing w:val="0"/>
          <w:szCs w:val="24"/>
        </w:rPr>
      </w:pPr>
      <w:r>
        <w:rPr>
          <w:rFonts w:hint="eastAsia" w:asciiTheme="minorEastAsia" w:hAnsiTheme="minorEastAsia" w:eastAsiaTheme="minorEastAsia"/>
          <w:color w:val="auto"/>
          <w:spacing w:val="0"/>
          <w:szCs w:val="24"/>
        </w:rPr>
        <w:t>大写：人民币</w:t>
      </w:r>
      <w:r>
        <w:rPr>
          <w:rFonts w:hint="eastAsia" w:asciiTheme="minorEastAsia" w:hAnsiTheme="minorEastAsia" w:eastAsiaTheme="minorEastAsia"/>
          <w:color w:val="auto"/>
          <w:spacing w:val="0"/>
          <w:szCs w:val="24"/>
          <w:lang w:val="en-US" w:eastAsia="zh-CN"/>
        </w:rPr>
        <w:t>壹仟捌佰零捌万玖仟壹佰零捌元整</w:t>
      </w:r>
    </w:p>
    <w:tbl>
      <w:tblPr>
        <w:tblStyle w:val="18"/>
        <w:tblpPr w:leftFromText="180" w:rightFromText="180" w:vertAnchor="text" w:horzAnchor="margin" w:tblpXSpec="center" w:tblpY="137"/>
        <w:tblOverlap w:val="never"/>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3"/>
        <w:gridCol w:w="943"/>
        <w:gridCol w:w="849"/>
        <w:gridCol w:w="850"/>
        <w:gridCol w:w="707"/>
        <w:gridCol w:w="991"/>
        <w:gridCol w:w="990"/>
        <w:gridCol w:w="990"/>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8915" w:type="dxa"/>
            <w:gridSpan w:val="9"/>
            <w:tcBorders>
              <w:top w:val="nil"/>
              <w:left w:val="nil"/>
              <w:bottom w:val="single" w:color="auto" w:sz="4" w:space="0"/>
              <w:right w:val="nil"/>
            </w:tcBorders>
            <w:tcMar>
              <w:top w:w="15" w:type="dxa"/>
              <w:left w:w="15" w:type="dxa"/>
              <w:right w:w="15" w:type="dxa"/>
            </w:tcMar>
            <w:vAlign w:val="center"/>
          </w:tcPr>
          <w:p>
            <w:pPr>
              <w:shd w:val="clear"/>
              <w:spacing w:line="520" w:lineRule="exact"/>
              <w:jc w:val="center"/>
              <w:rPr>
                <w:rFonts w:hint="eastAsia" w:cs="宋体" w:asciiTheme="minorEastAsia" w:hAnsiTheme="minorEastAsia" w:eastAsiaTheme="minorEastAsia"/>
                <w:b/>
                <w:bCs/>
                <w:color w:val="auto"/>
                <w:kern w:val="0"/>
                <w:sz w:val="18"/>
                <w:szCs w:val="18"/>
                <w:lang w:val="en-US" w:eastAsia="zh-CN"/>
              </w:rPr>
            </w:pPr>
            <w:r>
              <w:rPr>
                <w:rFonts w:hint="eastAsia" w:asciiTheme="minorEastAsia" w:hAnsiTheme="minorEastAsia" w:eastAsiaTheme="minorEastAsia"/>
                <w:b/>
                <w:bCs/>
                <w:color w:val="auto"/>
                <w:spacing w:val="0"/>
                <w:sz w:val="21"/>
                <w:szCs w:val="21"/>
                <w:lang w:eastAsia="zh-CN"/>
              </w:rPr>
              <w:t>估价对象评估结果</w:t>
            </w:r>
            <w:r>
              <w:rPr>
                <w:rFonts w:hint="eastAsia" w:asciiTheme="minorEastAsia" w:hAnsiTheme="minorEastAsia" w:eastAsiaTheme="minorEastAsia"/>
                <w:b/>
                <w:bCs/>
                <w:color w:val="auto"/>
                <w:spacing w:val="0"/>
                <w:sz w:val="21"/>
                <w:szCs w:val="21"/>
              </w:rPr>
              <w:t>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3" w:hRule="atLeast"/>
          <w:jc w:val="center"/>
        </w:trPr>
        <w:tc>
          <w:tcPr>
            <w:tcW w:w="1463" w:type="dxa"/>
            <w:tcBorders>
              <w:top w:val="single" w:color="auto" w:sz="4" w:space="0"/>
            </w:tcBorders>
            <w:tcMar>
              <w:top w:w="15" w:type="dxa"/>
              <w:left w:w="15" w:type="dxa"/>
              <w:right w:w="15" w:type="dxa"/>
            </w:tcMar>
            <w:vAlign w:val="center"/>
          </w:tcPr>
          <w:p>
            <w:pPr>
              <w:widowControl/>
              <w:shd w:val="clear"/>
              <w:jc w:val="center"/>
              <w:textAlignment w:val="center"/>
              <w:rPr>
                <w:rFonts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名称</w:t>
            </w:r>
          </w:p>
        </w:tc>
        <w:tc>
          <w:tcPr>
            <w:tcW w:w="943" w:type="dxa"/>
            <w:tcBorders>
              <w:top w:val="single" w:color="auto" w:sz="4" w:space="0"/>
            </w:tcBorders>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房屋结构</w:t>
            </w:r>
          </w:p>
        </w:tc>
        <w:tc>
          <w:tcPr>
            <w:tcW w:w="849" w:type="dxa"/>
            <w:tcBorders>
              <w:top w:val="single" w:color="auto" w:sz="4" w:space="0"/>
            </w:tcBorders>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所在层/总层数</w:t>
            </w:r>
          </w:p>
        </w:tc>
        <w:tc>
          <w:tcPr>
            <w:tcW w:w="850" w:type="dxa"/>
            <w:tcBorders>
              <w:top w:val="single" w:color="auto" w:sz="4" w:space="0"/>
            </w:tcBorders>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建成</w:t>
            </w:r>
          </w:p>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年代</w:t>
            </w:r>
          </w:p>
        </w:tc>
        <w:tc>
          <w:tcPr>
            <w:tcW w:w="707" w:type="dxa"/>
            <w:tcBorders>
              <w:top w:val="single" w:color="auto" w:sz="4" w:space="0"/>
            </w:tcBorders>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综合成新率</w:t>
            </w:r>
          </w:p>
        </w:tc>
        <w:tc>
          <w:tcPr>
            <w:tcW w:w="991" w:type="dxa"/>
            <w:tcBorders>
              <w:top w:val="single" w:color="auto" w:sz="4" w:space="0"/>
            </w:tcBorders>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重置价格</w:t>
            </w:r>
          </w:p>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（元/㎡）</w:t>
            </w:r>
          </w:p>
        </w:tc>
        <w:tc>
          <w:tcPr>
            <w:tcW w:w="990" w:type="dxa"/>
            <w:tcBorders>
              <w:top w:val="single" w:color="auto" w:sz="4" w:space="0"/>
            </w:tcBorders>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评估单价</w:t>
            </w:r>
          </w:p>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（元/㎡）</w:t>
            </w:r>
          </w:p>
        </w:tc>
        <w:tc>
          <w:tcPr>
            <w:tcW w:w="990" w:type="dxa"/>
            <w:tcBorders>
              <w:top w:val="single" w:color="auto" w:sz="4" w:space="0"/>
            </w:tcBorders>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建筑面积（㎡）</w:t>
            </w:r>
          </w:p>
        </w:tc>
        <w:tc>
          <w:tcPr>
            <w:tcW w:w="1132" w:type="dxa"/>
            <w:tcBorders>
              <w:top w:val="single" w:color="auto" w:sz="4" w:space="0"/>
            </w:tcBorders>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lang w:val="en-US" w:eastAsia="zh-CN"/>
              </w:rPr>
            </w:pPr>
            <w:r>
              <w:rPr>
                <w:rFonts w:hint="eastAsia" w:cs="宋体" w:asciiTheme="minorEastAsia" w:hAnsiTheme="minorEastAsia" w:eastAsiaTheme="minorEastAsia"/>
                <w:b/>
                <w:bCs/>
                <w:color w:val="auto"/>
                <w:kern w:val="0"/>
                <w:sz w:val="18"/>
                <w:szCs w:val="18"/>
                <w:lang w:val="en-US" w:eastAsia="zh-CN"/>
              </w:rPr>
              <w:t>评估总价</w:t>
            </w:r>
          </w:p>
          <w:p>
            <w:pPr>
              <w:widowControl/>
              <w:shd w:val="clear"/>
              <w:jc w:val="center"/>
              <w:textAlignment w:val="center"/>
              <w:rPr>
                <w:rFonts w:hint="eastAsia" w:cs="宋体" w:asciiTheme="minorEastAsia" w:hAnsiTheme="minorEastAsia" w:eastAsiaTheme="minorEastAsia"/>
                <w:b/>
                <w:bCs/>
                <w:color w:val="auto"/>
                <w:kern w:val="0"/>
                <w:sz w:val="18"/>
                <w:szCs w:val="18"/>
                <w:lang w:val="en-US" w:eastAsia="zh-CN"/>
              </w:rPr>
            </w:pPr>
            <w:r>
              <w:rPr>
                <w:rFonts w:hint="eastAsia" w:cs="宋体" w:asciiTheme="minorEastAsia" w:hAnsiTheme="minorEastAsia" w:eastAsiaTheme="minorEastAsia"/>
                <w:b/>
                <w:bCs/>
                <w:color w:val="auto"/>
                <w:kern w:val="0"/>
                <w:sz w:val="18"/>
                <w:szCs w:val="18"/>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1463" w:type="dxa"/>
            <w:tcMar>
              <w:top w:w="15" w:type="dxa"/>
              <w:left w:w="15" w:type="dxa"/>
              <w:right w:w="15" w:type="dxa"/>
            </w:tcMar>
            <w:vAlign w:val="center"/>
          </w:tcPr>
          <w:p>
            <w:pPr>
              <w:widowControl/>
              <w:shd w:val="clear"/>
              <w:spacing w:line="0" w:lineRule="atLeast"/>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1#</w:t>
            </w:r>
          </w:p>
        </w:tc>
        <w:tc>
          <w:tcPr>
            <w:tcW w:w="943"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钢混</w:t>
            </w:r>
          </w:p>
        </w:tc>
        <w:tc>
          <w:tcPr>
            <w:tcW w:w="849" w:type="dxa"/>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460" w:lineRule="exac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21"/>
                <w:szCs w:val="21"/>
                <w:lang w:val="en-US" w:eastAsia="zh-CN"/>
              </w:rPr>
              <w:t>1-5/5F</w:t>
            </w:r>
          </w:p>
        </w:tc>
        <w:tc>
          <w:tcPr>
            <w:tcW w:w="850" w:type="dxa"/>
            <w:noWrap/>
            <w:tcMar>
              <w:top w:w="15" w:type="dxa"/>
              <w:left w:w="15" w:type="dxa"/>
              <w:right w:w="15" w:type="dxa"/>
            </w:tcMar>
            <w:vAlign w:val="center"/>
          </w:tcPr>
          <w:p>
            <w:pPr>
              <w:widowControl/>
              <w:shd w:val="clear"/>
              <w:spacing w:line="0" w:lineRule="atLeast"/>
              <w:jc w:val="center"/>
              <w:rPr>
                <w:rFonts w:hint="default"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2008年</w:t>
            </w:r>
          </w:p>
        </w:tc>
        <w:tc>
          <w:tcPr>
            <w:tcW w:w="707"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78.00%</w:t>
            </w:r>
          </w:p>
        </w:tc>
        <w:tc>
          <w:tcPr>
            <w:tcW w:w="991" w:type="dxa"/>
            <w:vAlign w:val="center"/>
          </w:tcPr>
          <w:p>
            <w:pPr>
              <w:widowControl/>
              <w:shd w:val="clear"/>
              <w:spacing w:line="0" w:lineRule="atLeast"/>
              <w:jc w:val="center"/>
              <w:rPr>
                <w:rFonts w:hint="default"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2351</w:t>
            </w:r>
          </w:p>
        </w:tc>
        <w:tc>
          <w:tcPr>
            <w:tcW w:w="990" w:type="dxa"/>
            <w:vAlign w:val="center"/>
          </w:tcPr>
          <w:p>
            <w:pPr>
              <w:widowControl/>
              <w:shd w:val="clear"/>
              <w:spacing w:line="0" w:lineRule="atLeast"/>
              <w:jc w:val="center"/>
              <w:rPr>
                <w:rFonts w:hint="default" w:cs="宋体" w:asciiTheme="minorEastAsia" w:hAnsiTheme="minorEastAsia" w:eastAsiaTheme="minorEastAsia"/>
                <w:color w:val="auto"/>
                <w:kern w:val="0"/>
                <w:sz w:val="18"/>
                <w:szCs w:val="18"/>
                <w:lang w:val="en-US"/>
              </w:rPr>
            </w:pPr>
            <w:r>
              <w:rPr>
                <w:rFonts w:hint="eastAsia" w:cs="宋体" w:asciiTheme="minorEastAsia" w:hAnsiTheme="minorEastAsia" w:eastAsiaTheme="minorEastAsia"/>
                <w:color w:val="auto"/>
                <w:kern w:val="0"/>
                <w:sz w:val="18"/>
                <w:szCs w:val="18"/>
                <w:lang w:val="en-US" w:eastAsia="zh-CN"/>
              </w:rPr>
              <w:t>1834</w:t>
            </w:r>
          </w:p>
        </w:tc>
        <w:tc>
          <w:tcPr>
            <w:tcW w:w="990"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4010.50</w:t>
            </w:r>
          </w:p>
        </w:tc>
        <w:tc>
          <w:tcPr>
            <w:tcW w:w="1132"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7355257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1463" w:type="dxa"/>
            <w:tcMar>
              <w:top w:w="15" w:type="dxa"/>
              <w:left w:w="15" w:type="dxa"/>
              <w:right w:w="15" w:type="dxa"/>
            </w:tcMar>
            <w:vAlign w:val="center"/>
          </w:tcPr>
          <w:p>
            <w:pPr>
              <w:widowControl/>
              <w:shd w:val="clear"/>
              <w:spacing w:line="0" w:lineRule="atLeast"/>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2#</w:t>
            </w:r>
          </w:p>
        </w:tc>
        <w:tc>
          <w:tcPr>
            <w:tcW w:w="943"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钢混</w:t>
            </w:r>
          </w:p>
        </w:tc>
        <w:tc>
          <w:tcPr>
            <w:tcW w:w="849" w:type="dxa"/>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460" w:lineRule="exac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21"/>
                <w:szCs w:val="21"/>
                <w:lang w:val="en-US" w:eastAsia="zh-CN"/>
              </w:rPr>
              <w:t>1-2/2F</w:t>
            </w:r>
          </w:p>
        </w:tc>
        <w:tc>
          <w:tcPr>
            <w:tcW w:w="850"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2008年</w:t>
            </w:r>
          </w:p>
        </w:tc>
        <w:tc>
          <w:tcPr>
            <w:tcW w:w="707"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78.00%</w:t>
            </w:r>
          </w:p>
        </w:tc>
        <w:tc>
          <w:tcPr>
            <w:tcW w:w="991"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2080</w:t>
            </w:r>
          </w:p>
        </w:tc>
        <w:tc>
          <w:tcPr>
            <w:tcW w:w="990" w:type="dxa"/>
            <w:vAlign w:val="center"/>
          </w:tcPr>
          <w:p>
            <w:pPr>
              <w:widowControl/>
              <w:shd w:val="clear"/>
              <w:spacing w:line="0" w:lineRule="atLeast"/>
              <w:jc w:val="center"/>
              <w:rPr>
                <w:rFonts w:hint="default" w:cs="宋体" w:asciiTheme="minorEastAsia" w:hAnsiTheme="minorEastAsia" w:eastAsiaTheme="minorEastAsia"/>
                <w:color w:val="auto"/>
                <w:kern w:val="0"/>
                <w:sz w:val="18"/>
                <w:szCs w:val="18"/>
                <w:lang w:val="en-US"/>
              </w:rPr>
            </w:pPr>
            <w:r>
              <w:rPr>
                <w:rFonts w:hint="eastAsia" w:cs="宋体" w:asciiTheme="minorEastAsia" w:hAnsiTheme="minorEastAsia" w:eastAsiaTheme="minorEastAsia"/>
                <w:color w:val="auto"/>
                <w:kern w:val="0"/>
                <w:sz w:val="18"/>
                <w:szCs w:val="18"/>
                <w:lang w:val="en-US" w:eastAsia="zh-CN"/>
              </w:rPr>
              <w:t>1622</w:t>
            </w:r>
          </w:p>
        </w:tc>
        <w:tc>
          <w:tcPr>
            <w:tcW w:w="990"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684.51</w:t>
            </w:r>
          </w:p>
        </w:tc>
        <w:tc>
          <w:tcPr>
            <w:tcW w:w="1132"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1110275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1463" w:type="dxa"/>
            <w:tcMar>
              <w:top w:w="15" w:type="dxa"/>
              <w:left w:w="15" w:type="dxa"/>
              <w:right w:w="15" w:type="dxa"/>
            </w:tcMar>
            <w:vAlign w:val="center"/>
          </w:tcPr>
          <w:p>
            <w:pPr>
              <w:widowControl/>
              <w:shd w:val="clear"/>
              <w:spacing w:line="0" w:lineRule="atLeast"/>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3#</w:t>
            </w:r>
          </w:p>
        </w:tc>
        <w:tc>
          <w:tcPr>
            <w:tcW w:w="943"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钢混</w:t>
            </w:r>
          </w:p>
        </w:tc>
        <w:tc>
          <w:tcPr>
            <w:tcW w:w="849" w:type="dxa"/>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460" w:lineRule="exac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21"/>
                <w:szCs w:val="21"/>
                <w:lang w:val="en-US" w:eastAsia="zh-CN"/>
              </w:rPr>
              <w:t>1-2/2F</w:t>
            </w:r>
          </w:p>
        </w:tc>
        <w:tc>
          <w:tcPr>
            <w:tcW w:w="850"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2008年</w:t>
            </w:r>
          </w:p>
        </w:tc>
        <w:tc>
          <w:tcPr>
            <w:tcW w:w="707"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78.00%</w:t>
            </w:r>
          </w:p>
        </w:tc>
        <w:tc>
          <w:tcPr>
            <w:tcW w:w="991"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1945</w:t>
            </w:r>
          </w:p>
        </w:tc>
        <w:tc>
          <w:tcPr>
            <w:tcW w:w="990" w:type="dxa"/>
            <w:vAlign w:val="center"/>
          </w:tcPr>
          <w:p>
            <w:pPr>
              <w:widowControl/>
              <w:shd w:val="clear"/>
              <w:spacing w:line="0" w:lineRule="atLeast"/>
              <w:jc w:val="center"/>
              <w:rPr>
                <w:rFonts w:hint="default" w:cs="宋体" w:asciiTheme="minorEastAsia" w:hAnsiTheme="minorEastAsia" w:eastAsiaTheme="minorEastAsia"/>
                <w:color w:val="auto"/>
                <w:kern w:val="0"/>
                <w:sz w:val="18"/>
                <w:szCs w:val="18"/>
                <w:lang w:val="en-US"/>
              </w:rPr>
            </w:pPr>
            <w:r>
              <w:rPr>
                <w:rFonts w:hint="eastAsia" w:cs="宋体" w:asciiTheme="minorEastAsia" w:hAnsiTheme="minorEastAsia" w:eastAsiaTheme="minorEastAsia"/>
                <w:color w:val="auto"/>
                <w:kern w:val="0"/>
                <w:sz w:val="18"/>
                <w:szCs w:val="18"/>
                <w:lang w:val="en-US" w:eastAsia="zh-CN"/>
              </w:rPr>
              <w:t>1517</w:t>
            </w:r>
          </w:p>
        </w:tc>
        <w:tc>
          <w:tcPr>
            <w:tcW w:w="990"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1538.97</w:t>
            </w:r>
          </w:p>
        </w:tc>
        <w:tc>
          <w:tcPr>
            <w:tcW w:w="1132"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2334617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1463" w:type="dxa"/>
            <w:tcMar>
              <w:top w:w="15" w:type="dxa"/>
              <w:left w:w="15" w:type="dxa"/>
              <w:right w:w="15" w:type="dxa"/>
            </w:tcMar>
            <w:vAlign w:val="center"/>
          </w:tcPr>
          <w:p>
            <w:pPr>
              <w:widowControl/>
              <w:shd w:val="clear"/>
              <w:spacing w:line="0" w:lineRule="atLeast"/>
              <w:jc w:val="center"/>
              <w:rPr>
                <w:rFonts w:hint="eastAsia" w:asciiTheme="minorEastAsia" w:hAnsiTheme="minorEastAsia" w:eastAsiaTheme="minorEastAsia" w:cstheme="minorBidi"/>
                <w:bCs/>
                <w:color w:val="auto"/>
                <w:spacing w:val="0"/>
                <w:sz w:val="18"/>
                <w:szCs w:val="18"/>
                <w:lang w:val="en-US" w:eastAsia="zh-CN"/>
              </w:rPr>
            </w:pPr>
            <w:r>
              <w:rPr>
                <w:rFonts w:hint="eastAsia" w:cs="宋体" w:asciiTheme="minorEastAsia" w:hAnsiTheme="minorEastAsia" w:eastAsiaTheme="minorEastAsia"/>
                <w:color w:val="auto"/>
                <w:kern w:val="0"/>
                <w:sz w:val="18"/>
                <w:szCs w:val="18"/>
                <w:lang w:val="en-US" w:eastAsia="zh-CN"/>
              </w:rPr>
              <w:t>4#</w:t>
            </w:r>
          </w:p>
        </w:tc>
        <w:tc>
          <w:tcPr>
            <w:tcW w:w="943" w:type="dxa"/>
            <w:noWrap/>
            <w:tcMar>
              <w:top w:w="15" w:type="dxa"/>
              <w:left w:w="15" w:type="dxa"/>
              <w:right w:w="15" w:type="dxa"/>
            </w:tcMar>
            <w:vAlign w:val="center"/>
          </w:tcPr>
          <w:p>
            <w:pPr>
              <w:widowControl/>
              <w:shd w:val="clear"/>
              <w:spacing w:line="0" w:lineRule="atLeast"/>
              <w:jc w:val="center"/>
              <w:rPr>
                <w:rFonts w:hint="eastAsia" w:asciiTheme="minorEastAsia" w:hAnsiTheme="minorEastAsia" w:eastAsiaTheme="minorEastAsia" w:cstheme="minorBidi"/>
                <w:bCs/>
                <w:color w:val="auto"/>
                <w:spacing w:val="0"/>
                <w:sz w:val="18"/>
                <w:szCs w:val="18"/>
                <w:lang w:val="en-US" w:eastAsia="zh-CN"/>
              </w:rPr>
            </w:pPr>
            <w:r>
              <w:rPr>
                <w:rFonts w:hint="eastAsia" w:cs="宋体" w:asciiTheme="minorEastAsia" w:hAnsiTheme="minorEastAsia" w:eastAsiaTheme="minorEastAsia"/>
                <w:color w:val="auto"/>
                <w:kern w:val="0"/>
                <w:sz w:val="18"/>
                <w:szCs w:val="18"/>
                <w:lang w:val="en-US" w:eastAsia="zh-CN"/>
              </w:rPr>
              <w:t>钢混</w:t>
            </w:r>
          </w:p>
        </w:tc>
        <w:tc>
          <w:tcPr>
            <w:tcW w:w="849" w:type="dxa"/>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460" w:lineRule="exac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21"/>
                <w:szCs w:val="21"/>
                <w:lang w:val="en-US" w:eastAsia="zh-CN"/>
              </w:rPr>
              <w:t>1-2/2F</w:t>
            </w:r>
          </w:p>
        </w:tc>
        <w:tc>
          <w:tcPr>
            <w:tcW w:w="850"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2008年</w:t>
            </w:r>
          </w:p>
        </w:tc>
        <w:tc>
          <w:tcPr>
            <w:tcW w:w="707" w:type="dxa"/>
            <w:noWrap/>
            <w:tcMar>
              <w:top w:w="15" w:type="dxa"/>
              <w:left w:w="15" w:type="dxa"/>
              <w:right w:w="15" w:type="dxa"/>
            </w:tcMar>
            <w:vAlign w:val="center"/>
          </w:tcPr>
          <w:p>
            <w:pPr>
              <w:widowControl/>
              <w:shd w:val="clear"/>
              <w:spacing w:line="0" w:lineRule="atLeast"/>
              <w:jc w:val="center"/>
              <w:rPr>
                <w:rFonts w:hint="eastAsia" w:ascii="宋体" w:hAnsi="宋体" w:eastAsia="宋体" w:cs="宋体"/>
                <w:i w:val="0"/>
                <w:iCs w:val="0"/>
                <w:color w:val="000000"/>
                <w:spacing w:val="10"/>
                <w:kern w:val="0"/>
                <w:sz w:val="18"/>
                <w:szCs w:val="18"/>
                <w:u w:val="none"/>
                <w:lang w:val="en-US" w:eastAsia="zh-CN" w:bidi="ar"/>
              </w:rPr>
            </w:pPr>
            <w:r>
              <w:rPr>
                <w:rFonts w:hint="eastAsia" w:cs="宋体" w:asciiTheme="minorEastAsia" w:hAnsiTheme="minorEastAsia" w:eastAsiaTheme="minorEastAsia"/>
                <w:color w:val="auto"/>
                <w:kern w:val="0"/>
                <w:sz w:val="18"/>
                <w:szCs w:val="18"/>
                <w:lang w:val="en-US" w:eastAsia="zh-CN"/>
              </w:rPr>
              <w:t>78.00%</w:t>
            </w:r>
          </w:p>
        </w:tc>
        <w:tc>
          <w:tcPr>
            <w:tcW w:w="991" w:type="dxa"/>
            <w:vAlign w:val="center"/>
          </w:tcPr>
          <w:p>
            <w:pPr>
              <w:widowControl/>
              <w:shd w:val="clear"/>
              <w:spacing w:line="0" w:lineRule="atLeast"/>
              <w:jc w:val="center"/>
              <w:rPr>
                <w:rFonts w:hint="eastAsia" w:ascii="宋体" w:hAnsi="宋体" w:eastAsia="宋体" w:cs="宋体"/>
                <w:i w:val="0"/>
                <w:iCs w:val="0"/>
                <w:color w:val="000000"/>
                <w:spacing w:val="10"/>
                <w:kern w:val="0"/>
                <w:sz w:val="18"/>
                <w:szCs w:val="18"/>
                <w:u w:val="none"/>
                <w:lang w:val="en-US" w:eastAsia="zh-CN" w:bidi="ar"/>
              </w:rPr>
            </w:pPr>
            <w:r>
              <w:rPr>
                <w:rFonts w:hint="eastAsia" w:cs="宋体" w:asciiTheme="minorEastAsia" w:hAnsiTheme="minorEastAsia" w:eastAsiaTheme="minorEastAsia"/>
                <w:color w:val="auto"/>
                <w:kern w:val="0"/>
                <w:sz w:val="18"/>
                <w:szCs w:val="18"/>
                <w:lang w:val="en-US" w:eastAsia="zh-CN"/>
              </w:rPr>
              <w:t>1945</w:t>
            </w:r>
          </w:p>
        </w:tc>
        <w:tc>
          <w:tcPr>
            <w:tcW w:w="990" w:type="dxa"/>
            <w:vAlign w:val="center"/>
          </w:tcPr>
          <w:p>
            <w:pPr>
              <w:widowControl/>
              <w:shd w:val="clear"/>
              <w:spacing w:line="0" w:lineRule="atLeast"/>
              <w:jc w:val="center"/>
              <w:rPr>
                <w:rFonts w:hint="eastAsia" w:ascii="宋体" w:hAnsi="宋体" w:eastAsia="宋体" w:cs="宋体"/>
                <w:i w:val="0"/>
                <w:iCs w:val="0"/>
                <w:color w:val="000000"/>
                <w:spacing w:val="10"/>
                <w:kern w:val="0"/>
                <w:sz w:val="18"/>
                <w:szCs w:val="18"/>
                <w:u w:val="none"/>
                <w:lang w:val="en-US" w:eastAsia="zh-CN" w:bidi="ar"/>
              </w:rPr>
            </w:pPr>
            <w:r>
              <w:rPr>
                <w:rFonts w:hint="eastAsia" w:cs="宋体" w:asciiTheme="minorEastAsia" w:hAnsiTheme="minorEastAsia" w:eastAsiaTheme="minorEastAsia"/>
                <w:color w:val="auto"/>
                <w:kern w:val="0"/>
                <w:sz w:val="18"/>
                <w:szCs w:val="18"/>
                <w:lang w:val="en-US" w:eastAsia="zh-CN"/>
              </w:rPr>
              <w:t>1517</w:t>
            </w:r>
          </w:p>
        </w:tc>
        <w:tc>
          <w:tcPr>
            <w:tcW w:w="990" w:type="dxa"/>
            <w:vAlign w:val="center"/>
          </w:tcPr>
          <w:p>
            <w:pPr>
              <w:widowControl/>
              <w:shd w:val="clear"/>
              <w:spacing w:line="0" w:lineRule="atLeast"/>
              <w:jc w:val="center"/>
              <w:rPr>
                <w:rFonts w:hint="eastAsia" w:ascii="宋体" w:hAnsi="宋体" w:eastAsia="宋体" w:cs="宋体"/>
                <w:i w:val="0"/>
                <w:iCs w:val="0"/>
                <w:color w:val="1E1C11"/>
                <w:spacing w:val="10"/>
                <w:kern w:val="0"/>
                <w:sz w:val="18"/>
                <w:szCs w:val="18"/>
                <w:u w:val="none"/>
                <w:lang w:val="en-US" w:eastAsia="zh-CN" w:bidi="ar"/>
              </w:rPr>
            </w:pPr>
            <w:r>
              <w:rPr>
                <w:rFonts w:hint="eastAsia" w:cs="宋体" w:asciiTheme="minorEastAsia" w:hAnsiTheme="minorEastAsia" w:eastAsiaTheme="minorEastAsia"/>
                <w:color w:val="auto"/>
                <w:kern w:val="0"/>
                <w:sz w:val="18"/>
                <w:szCs w:val="18"/>
                <w:lang w:val="en-US" w:eastAsia="zh-CN"/>
              </w:rPr>
              <w:t>1538.97</w:t>
            </w:r>
          </w:p>
        </w:tc>
        <w:tc>
          <w:tcPr>
            <w:tcW w:w="1132" w:type="dxa"/>
            <w:vAlign w:val="center"/>
          </w:tcPr>
          <w:p>
            <w:pPr>
              <w:widowControl/>
              <w:shd w:val="clear"/>
              <w:spacing w:line="0" w:lineRule="atLeast"/>
              <w:jc w:val="center"/>
              <w:rPr>
                <w:rFonts w:hint="eastAsia" w:ascii="宋体" w:hAnsi="宋体" w:eastAsia="宋体" w:cs="宋体"/>
                <w:i w:val="0"/>
                <w:iCs w:val="0"/>
                <w:color w:val="000000"/>
                <w:spacing w:val="10"/>
                <w:kern w:val="0"/>
                <w:sz w:val="18"/>
                <w:szCs w:val="18"/>
                <w:u w:val="none"/>
                <w:lang w:val="en-US" w:eastAsia="zh-CN" w:bidi="ar"/>
              </w:rPr>
            </w:pPr>
            <w:r>
              <w:rPr>
                <w:rFonts w:hint="eastAsia" w:cs="宋体" w:asciiTheme="minorEastAsia" w:hAnsiTheme="minorEastAsia" w:eastAsiaTheme="minorEastAsia"/>
                <w:color w:val="auto"/>
                <w:kern w:val="0"/>
                <w:sz w:val="18"/>
                <w:szCs w:val="18"/>
                <w:lang w:val="en-US" w:eastAsia="zh-CN"/>
              </w:rPr>
              <w:t>2334617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1463" w:type="dxa"/>
            <w:tcMar>
              <w:top w:w="15" w:type="dxa"/>
              <w:left w:w="15" w:type="dxa"/>
              <w:right w:w="15" w:type="dxa"/>
            </w:tcMar>
            <w:vAlign w:val="center"/>
          </w:tcPr>
          <w:p>
            <w:pPr>
              <w:widowControl/>
              <w:shd w:val="clear"/>
              <w:spacing w:line="0" w:lineRule="atLeast"/>
              <w:jc w:val="center"/>
              <w:rPr>
                <w:rFonts w:hint="eastAsia" w:asciiTheme="minorEastAsia" w:hAnsiTheme="minorEastAsia" w:eastAsiaTheme="minorEastAsia" w:cstheme="minorBidi"/>
                <w:bCs/>
                <w:color w:val="auto"/>
                <w:spacing w:val="0"/>
                <w:sz w:val="18"/>
                <w:szCs w:val="18"/>
                <w:lang w:val="en-US" w:eastAsia="zh-CN"/>
              </w:rPr>
            </w:pPr>
            <w:r>
              <w:rPr>
                <w:rFonts w:hint="eastAsia" w:cs="宋体" w:asciiTheme="minorEastAsia" w:hAnsiTheme="minorEastAsia" w:eastAsiaTheme="minorEastAsia"/>
                <w:color w:val="auto"/>
                <w:kern w:val="0"/>
                <w:sz w:val="18"/>
                <w:szCs w:val="18"/>
                <w:lang w:val="en-US" w:eastAsia="zh-CN"/>
              </w:rPr>
              <w:t>钢结构厂房</w:t>
            </w:r>
          </w:p>
        </w:tc>
        <w:tc>
          <w:tcPr>
            <w:tcW w:w="943" w:type="dxa"/>
            <w:noWrap/>
            <w:tcMar>
              <w:top w:w="15" w:type="dxa"/>
              <w:left w:w="15" w:type="dxa"/>
              <w:right w:w="15" w:type="dxa"/>
            </w:tcMar>
            <w:vAlign w:val="center"/>
          </w:tcPr>
          <w:p>
            <w:pPr>
              <w:widowControl/>
              <w:shd w:val="clear"/>
              <w:spacing w:line="0" w:lineRule="atLeast"/>
              <w:jc w:val="center"/>
              <w:rPr>
                <w:rFonts w:hint="eastAsia" w:asciiTheme="minorEastAsia" w:hAnsiTheme="minorEastAsia" w:eastAsiaTheme="minorEastAsia" w:cstheme="minorBidi"/>
                <w:bCs/>
                <w:color w:val="auto"/>
                <w:spacing w:val="0"/>
                <w:sz w:val="18"/>
                <w:szCs w:val="18"/>
                <w:lang w:val="en-US" w:eastAsia="zh-CN"/>
              </w:rPr>
            </w:pPr>
            <w:r>
              <w:rPr>
                <w:rFonts w:hint="eastAsia" w:cs="宋体" w:asciiTheme="minorEastAsia" w:hAnsiTheme="minorEastAsia" w:eastAsiaTheme="minorEastAsia"/>
                <w:color w:val="auto"/>
                <w:kern w:val="0"/>
                <w:sz w:val="18"/>
                <w:szCs w:val="18"/>
                <w:lang w:val="en-US" w:eastAsia="zh-CN"/>
              </w:rPr>
              <w:t>钢结构</w:t>
            </w:r>
          </w:p>
        </w:tc>
        <w:tc>
          <w:tcPr>
            <w:tcW w:w="849" w:type="dxa"/>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460" w:lineRule="exac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21"/>
                <w:szCs w:val="21"/>
                <w:lang w:val="en-US" w:eastAsia="zh-CN"/>
              </w:rPr>
              <w:t>1-5/5F</w:t>
            </w:r>
          </w:p>
        </w:tc>
        <w:tc>
          <w:tcPr>
            <w:tcW w:w="850"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2008年</w:t>
            </w:r>
          </w:p>
        </w:tc>
        <w:tc>
          <w:tcPr>
            <w:tcW w:w="707" w:type="dxa"/>
            <w:noWrap/>
            <w:tcMar>
              <w:top w:w="15" w:type="dxa"/>
              <w:left w:w="15" w:type="dxa"/>
              <w:right w:w="15" w:type="dxa"/>
            </w:tcMar>
            <w:vAlign w:val="center"/>
          </w:tcPr>
          <w:p>
            <w:pPr>
              <w:widowControl/>
              <w:shd w:val="clear"/>
              <w:spacing w:line="0" w:lineRule="atLeast"/>
              <w:jc w:val="center"/>
              <w:rPr>
                <w:rFonts w:hint="eastAsia" w:ascii="宋体" w:hAnsi="宋体" w:eastAsia="宋体" w:cs="宋体"/>
                <w:i w:val="0"/>
                <w:iCs w:val="0"/>
                <w:color w:val="000000"/>
                <w:spacing w:val="10"/>
                <w:kern w:val="0"/>
                <w:sz w:val="18"/>
                <w:szCs w:val="18"/>
                <w:u w:val="none"/>
                <w:lang w:val="en-US" w:eastAsia="zh-CN" w:bidi="ar"/>
              </w:rPr>
            </w:pPr>
            <w:r>
              <w:rPr>
                <w:rFonts w:hint="eastAsia" w:cs="宋体" w:asciiTheme="minorEastAsia" w:hAnsiTheme="minorEastAsia" w:eastAsiaTheme="minorEastAsia"/>
                <w:color w:val="auto"/>
                <w:kern w:val="0"/>
                <w:sz w:val="18"/>
                <w:szCs w:val="18"/>
                <w:lang w:val="en-US" w:eastAsia="zh-CN"/>
              </w:rPr>
              <w:t>80.00%</w:t>
            </w:r>
          </w:p>
        </w:tc>
        <w:tc>
          <w:tcPr>
            <w:tcW w:w="991" w:type="dxa"/>
            <w:vAlign w:val="center"/>
          </w:tcPr>
          <w:p>
            <w:pPr>
              <w:widowControl/>
              <w:shd w:val="clear"/>
              <w:spacing w:line="0" w:lineRule="atLeast"/>
              <w:jc w:val="center"/>
              <w:rPr>
                <w:rFonts w:hint="eastAsia" w:ascii="宋体" w:hAnsi="宋体" w:eastAsia="宋体" w:cs="宋体"/>
                <w:i w:val="0"/>
                <w:iCs w:val="0"/>
                <w:color w:val="000000"/>
                <w:spacing w:val="10"/>
                <w:kern w:val="0"/>
                <w:sz w:val="18"/>
                <w:szCs w:val="18"/>
                <w:u w:val="none"/>
                <w:lang w:val="en-US" w:eastAsia="zh-CN" w:bidi="ar"/>
              </w:rPr>
            </w:pPr>
            <w:r>
              <w:rPr>
                <w:rFonts w:hint="eastAsia" w:cs="宋体" w:asciiTheme="minorEastAsia" w:hAnsiTheme="minorEastAsia" w:eastAsiaTheme="minorEastAsia"/>
                <w:color w:val="auto"/>
                <w:kern w:val="0"/>
                <w:sz w:val="18"/>
                <w:szCs w:val="18"/>
                <w:lang w:val="en-US" w:eastAsia="zh-CN"/>
              </w:rPr>
              <w:t>1219</w:t>
            </w:r>
          </w:p>
        </w:tc>
        <w:tc>
          <w:tcPr>
            <w:tcW w:w="990" w:type="dxa"/>
            <w:vAlign w:val="center"/>
          </w:tcPr>
          <w:p>
            <w:pPr>
              <w:widowControl/>
              <w:shd w:val="clear"/>
              <w:spacing w:line="0" w:lineRule="atLeast"/>
              <w:jc w:val="center"/>
              <w:rPr>
                <w:rFonts w:hint="eastAsia" w:ascii="宋体" w:hAnsi="宋体" w:eastAsia="宋体" w:cs="宋体"/>
                <w:i w:val="0"/>
                <w:iCs w:val="0"/>
                <w:color w:val="000000"/>
                <w:spacing w:val="10"/>
                <w:kern w:val="0"/>
                <w:sz w:val="18"/>
                <w:szCs w:val="18"/>
                <w:u w:val="none"/>
                <w:lang w:val="en-US" w:eastAsia="zh-CN" w:bidi="ar"/>
              </w:rPr>
            </w:pPr>
            <w:r>
              <w:rPr>
                <w:rFonts w:hint="eastAsia" w:cs="宋体" w:asciiTheme="minorEastAsia" w:hAnsiTheme="minorEastAsia" w:eastAsiaTheme="minorEastAsia"/>
                <w:color w:val="auto"/>
                <w:kern w:val="0"/>
                <w:sz w:val="18"/>
                <w:szCs w:val="18"/>
                <w:lang w:val="en-US" w:eastAsia="zh-CN"/>
              </w:rPr>
              <w:t>975</w:t>
            </w:r>
          </w:p>
        </w:tc>
        <w:tc>
          <w:tcPr>
            <w:tcW w:w="990" w:type="dxa"/>
            <w:vAlign w:val="center"/>
          </w:tcPr>
          <w:p>
            <w:pPr>
              <w:widowControl/>
              <w:shd w:val="clear"/>
              <w:spacing w:line="0" w:lineRule="atLeast"/>
              <w:jc w:val="center"/>
              <w:rPr>
                <w:rFonts w:hint="eastAsia" w:ascii="宋体" w:hAnsi="宋体" w:eastAsia="宋体" w:cs="宋体"/>
                <w:i w:val="0"/>
                <w:iCs w:val="0"/>
                <w:color w:val="1E1C11"/>
                <w:spacing w:val="10"/>
                <w:kern w:val="0"/>
                <w:sz w:val="18"/>
                <w:szCs w:val="18"/>
                <w:u w:val="none"/>
                <w:lang w:val="en-US" w:eastAsia="zh-CN" w:bidi="ar"/>
              </w:rPr>
            </w:pPr>
            <w:r>
              <w:rPr>
                <w:rFonts w:hint="eastAsia" w:cs="宋体" w:asciiTheme="minorEastAsia" w:hAnsiTheme="minorEastAsia" w:eastAsiaTheme="minorEastAsia"/>
                <w:color w:val="auto"/>
                <w:kern w:val="0"/>
                <w:sz w:val="18"/>
                <w:szCs w:val="18"/>
                <w:lang w:val="en-US" w:eastAsia="zh-CN"/>
              </w:rPr>
              <w:t>960</w:t>
            </w:r>
          </w:p>
        </w:tc>
        <w:tc>
          <w:tcPr>
            <w:tcW w:w="1132" w:type="dxa"/>
            <w:vAlign w:val="center"/>
          </w:tcPr>
          <w:p>
            <w:pPr>
              <w:widowControl/>
              <w:shd w:val="clear"/>
              <w:spacing w:line="0" w:lineRule="atLeast"/>
              <w:jc w:val="center"/>
              <w:rPr>
                <w:rFonts w:hint="eastAsia" w:ascii="宋体" w:hAnsi="宋体" w:eastAsia="宋体" w:cs="宋体"/>
                <w:i w:val="0"/>
                <w:iCs w:val="0"/>
                <w:color w:val="000000"/>
                <w:spacing w:val="10"/>
                <w:kern w:val="0"/>
                <w:sz w:val="18"/>
                <w:szCs w:val="18"/>
                <w:u w:val="none"/>
                <w:lang w:val="en-US" w:eastAsia="zh-CN" w:bidi="ar"/>
              </w:rPr>
            </w:pPr>
            <w:r>
              <w:rPr>
                <w:rFonts w:hint="eastAsia" w:cs="宋体" w:asciiTheme="minorEastAsia" w:hAnsiTheme="minorEastAsia" w:eastAsiaTheme="minorEastAsia"/>
                <w:color w:val="auto"/>
                <w:kern w:val="0"/>
                <w:sz w:val="18"/>
                <w:szCs w:val="18"/>
                <w:lang w:val="en-US" w:eastAsia="zh-CN"/>
              </w:rPr>
              <w:t>936000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1463" w:type="dxa"/>
            <w:tcMar>
              <w:top w:w="15" w:type="dxa"/>
              <w:left w:w="15" w:type="dxa"/>
              <w:right w:w="15" w:type="dxa"/>
            </w:tcMar>
            <w:vAlign w:val="center"/>
          </w:tcPr>
          <w:p>
            <w:pPr>
              <w:widowControl/>
              <w:shd w:val="clear"/>
              <w:jc w:val="center"/>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房产合计</w:t>
            </w:r>
          </w:p>
        </w:tc>
        <w:tc>
          <w:tcPr>
            <w:tcW w:w="943" w:type="dxa"/>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w:t>
            </w:r>
          </w:p>
        </w:tc>
        <w:tc>
          <w:tcPr>
            <w:tcW w:w="849" w:type="dxa"/>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w:t>
            </w:r>
          </w:p>
        </w:tc>
        <w:tc>
          <w:tcPr>
            <w:tcW w:w="850"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w:t>
            </w:r>
          </w:p>
        </w:tc>
        <w:tc>
          <w:tcPr>
            <w:tcW w:w="707" w:type="dxa"/>
            <w:noWrap/>
            <w:tcMar>
              <w:top w:w="15" w:type="dxa"/>
              <w:left w:w="15" w:type="dxa"/>
              <w:right w:w="15" w:type="dxa"/>
            </w:tcMar>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w:t>
            </w:r>
          </w:p>
        </w:tc>
        <w:tc>
          <w:tcPr>
            <w:tcW w:w="991"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w:t>
            </w:r>
          </w:p>
        </w:tc>
        <w:tc>
          <w:tcPr>
            <w:tcW w:w="990"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w:t>
            </w:r>
          </w:p>
        </w:tc>
        <w:tc>
          <w:tcPr>
            <w:tcW w:w="990" w:type="dxa"/>
            <w:vAlign w:val="center"/>
          </w:tcPr>
          <w:p>
            <w:pPr>
              <w:widowControl/>
              <w:shd w:val="clear"/>
              <w:spacing w:line="0" w:lineRule="atLeast"/>
              <w:jc w:val="center"/>
              <w:rPr>
                <w:rFonts w:hint="eastAsia" w:cs="宋体" w:asciiTheme="minorEastAsia" w:hAnsiTheme="minorEastAsia" w:eastAsiaTheme="minorEastAsia"/>
                <w:color w:val="auto"/>
                <w:kern w:val="0"/>
                <w:sz w:val="18"/>
                <w:szCs w:val="18"/>
                <w:lang w:eastAsia="zh-CN"/>
              </w:rPr>
            </w:pPr>
            <w:r>
              <w:rPr>
                <w:rFonts w:hint="eastAsia" w:cs="宋体" w:asciiTheme="minorEastAsia" w:hAnsiTheme="minorEastAsia" w:eastAsiaTheme="minorEastAsia"/>
                <w:color w:val="auto"/>
                <w:kern w:val="0"/>
                <w:sz w:val="18"/>
                <w:szCs w:val="18"/>
                <w:lang w:val="en-US" w:eastAsia="zh-CN"/>
              </w:rPr>
              <w:t>8732.95</w:t>
            </w:r>
          </w:p>
        </w:tc>
        <w:tc>
          <w:tcPr>
            <w:tcW w:w="1132" w:type="dxa"/>
            <w:vAlign w:val="center"/>
          </w:tcPr>
          <w:p>
            <w:pPr>
              <w:widowControl/>
              <w:shd w:val="clear"/>
              <w:spacing w:line="0" w:lineRule="atLeast"/>
              <w:jc w:val="center"/>
              <w:rPr>
                <w:rFonts w:hint="default"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14070766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463" w:type="dxa"/>
            <w:tcMar>
              <w:top w:w="15" w:type="dxa"/>
              <w:left w:w="15" w:type="dxa"/>
              <w:right w:w="15" w:type="dxa"/>
            </w:tcMar>
            <w:vAlign w:val="center"/>
          </w:tcPr>
          <w:p>
            <w:pPr>
              <w:widowControl/>
              <w:shd w:val="clear"/>
              <w:spacing w:line="300" w:lineRule="exact"/>
              <w:jc w:val="center"/>
              <w:textAlignment w:val="center"/>
              <w:rPr>
                <w:rFonts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名称</w:t>
            </w:r>
          </w:p>
        </w:tc>
        <w:tc>
          <w:tcPr>
            <w:tcW w:w="1792" w:type="dxa"/>
            <w:gridSpan w:val="2"/>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用途</w:t>
            </w:r>
          </w:p>
        </w:tc>
        <w:tc>
          <w:tcPr>
            <w:tcW w:w="1557" w:type="dxa"/>
            <w:gridSpan w:val="2"/>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面积（㎡）</w:t>
            </w:r>
          </w:p>
        </w:tc>
        <w:tc>
          <w:tcPr>
            <w:tcW w:w="1981" w:type="dxa"/>
            <w:gridSpan w:val="2"/>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单价（元/㎡）</w:t>
            </w:r>
          </w:p>
        </w:tc>
        <w:tc>
          <w:tcPr>
            <w:tcW w:w="2122" w:type="dxa"/>
            <w:gridSpan w:val="2"/>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评估总价(元)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1463" w:type="dxa"/>
            <w:tcMar>
              <w:top w:w="15" w:type="dxa"/>
              <w:left w:w="15" w:type="dxa"/>
              <w:right w:w="15" w:type="dxa"/>
            </w:tcMar>
            <w:vAlign w:val="center"/>
          </w:tcPr>
          <w:p>
            <w:pPr>
              <w:widowControl/>
              <w:shd w:val="clear"/>
              <w:jc w:val="center"/>
              <w:textAlignment w:val="center"/>
              <w:rPr>
                <w:rFonts w:hint="default"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土地使用权</w:t>
            </w:r>
          </w:p>
        </w:tc>
        <w:tc>
          <w:tcPr>
            <w:tcW w:w="1792" w:type="dxa"/>
            <w:gridSpan w:val="2"/>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工业</w:t>
            </w:r>
          </w:p>
        </w:tc>
        <w:tc>
          <w:tcPr>
            <w:tcW w:w="1557" w:type="dxa"/>
            <w:gridSpan w:val="2"/>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14828.37</w:t>
            </w:r>
          </w:p>
        </w:tc>
        <w:tc>
          <w:tcPr>
            <w:tcW w:w="1981" w:type="dxa"/>
            <w:gridSpan w:val="2"/>
            <w:vAlign w:val="center"/>
          </w:tcPr>
          <w:p>
            <w:pPr>
              <w:widowControl/>
              <w:shd w:val="clear"/>
              <w:jc w:val="center"/>
              <w:textAlignment w:val="center"/>
              <w:rPr>
                <w:rFonts w:hint="default"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215</w:t>
            </w:r>
          </w:p>
        </w:tc>
        <w:tc>
          <w:tcPr>
            <w:tcW w:w="2122" w:type="dxa"/>
            <w:gridSpan w:val="2"/>
            <w:vAlign w:val="center"/>
          </w:tcPr>
          <w:p>
            <w:pPr>
              <w:widowControl/>
              <w:shd w:val="clear"/>
              <w:jc w:val="center"/>
              <w:textAlignment w:val="center"/>
              <w:rPr>
                <w:rFonts w:hint="eastAsia"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3188100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1463" w:type="dxa"/>
            <w:tcMar>
              <w:top w:w="15" w:type="dxa"/>
              <w:left w:w="15" w:type="dxa"/>
              <w:right w:w="15" w:type="dxa"/>
            </w:tcMar>
            <w:vAlign w:val="center"/>
          </w:tcPr>
          <w:p>
            <w:pPr>
              <w:widowControl/>
              <w:shd w:val="clear"/>
              <w:jc w:val="center"/>
              <w:textAlignment w:val="center"/>
              <w:rPr>
                <w:rFonts w:hint="default"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附属物等</w:t>
            </w:r>
          </w:p>
        </w:tc>
        <w:tc>
          <w:tcPr>
            <w:tcW w:w="1792" w:type="dxa"/>
            <w:gridSpan w:val="2"/>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color w:val="auto"/>
                <w:kern w:val="0"/>
                <w:sz w:val="18"/>
                <w:szCs w:val="18"/>
                <w:lang w:val="en-US" w:eastAsia="zh-CN"/>
              </w:rPr>
            </w:pPr>
          </w:p>
        </w:tc>
        <w:tc>
          <w:tcPr>
            <w:tcW w:w="1557" w:type="dxa"/>
            <w:gridSpan w:val="2"/>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color w:val="auto"/>
                <w:kern w:val="0"/>
                <w:sz w:val="18"/>
                <w:szCs w:val="18"/>
                <w:lang w:val="en-US" w:eastAsia="zh-CN"/>
              </w:rPr>
            </w:pPr>
          </w:p>
        </w:tc>
        <w:tc>
          <w:tcPr>
            <w:tcW w:w="1981" w:type="dxa"/>
            <w:gridSpan w:val="2"/>
            <w:vAlign w:val="center"/>
          </w:tcPr>
          <w:p>
            <w:pPr>
              <w:widowControl/>
              <w:shd w:val="clear"/>
              <w:jc w:val="center"/>
              <w:textAlignment w:val="center"/>
              <w:rPr>
                <w:rFonts w:hint="eastAsia" w:cs="宋体" w:asciiTheme="minorEastAsia" w:hAnsiTheme="minorEastAsia" w:eastAsiaTheme="minorEastAsia"/>
                <w:color w:val="auto"/>
                <w:kern w:val="0"/>
                <w:sz w:val="18"/>
                <w:szCs w:val="18"/>
                <w:lang w:val="en-US" w:eastAsia="zh-CN"/>
              </w:rPr>
            </w:pPr>
          </w:p>
        </w:tc>
        <w:tc>
          <w:tcPr>
            <w:tcW w:w="2122" w:type="dxa"/>
            <w:gridSpan w:val="2"/>
            <w:vAlign w:val="center"/>
          </w:tcPr>
          <w:p>
            <w:pPr>
              <w:widowControl/>
              <w:shd w:val="clear"/>
              <w:jc w:val="center"/>
              <w:textAlignment w:val="center"/>
              <w:rPr>
                <w:rFonts w:hint="default" w:cs="宋体" w:asciiTheme="minorEastAsia" w:hAnsiTheme="minorEastAsia" w:eastAsiaTheme="minorEastAsia"/>
                <w:color w:val="auto"/>
                <w:kern w:val="0"/>
                <w:sz w:val="18"/>
                <w:szCs w:val="18"/>
                <w:lang w:val="en-US" w:eastAsia="zh-CN"/>
              </w:rPr>
            </w:pPr>
            <w:r>
              <w:rPr>
                <w:rFonts w:hint="eastAsia" w:cs="宋体" w:asciiTheme="minorEastAsia" w:hAnsiTheme="minorEastAsia" w:eastAsiaTheme="minorEastAsia"/>
                <w:color w:val="auto"/>
                <w:kern w:val="0"/>
                <w:sz w:val="18"/>
                <w:szCs w:val="18"/>
                <w:lang w:val="en-US" w:eastAsia="zh-CN"/>
              </w:rPr>
              <w:t>830242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1463" w:type="dxa"/>
            <w:tcMar>
              <w:top w:w="15" w:type="dxa"/>
              <w:left w:w="15" w:type="dxa"/>
              <w:right w:w="15" w:type="dxa"/>
            </w:tcMar>
            <w:vAlign w:val="center"/>
          </w:tcPr>
          <w:p>
            <w:pPr>
              <w:widowControl/>
              <w:shd w:val="clear"/>
              <w:spacing w:line="300" w:lineRule="exact"/>
              <w:jc w:val="center"/>
              <w:textAlignment w:val="center"/>
              <w:rPr>
                <w:rFonts w:cs="宋体" w:asciiTheme="minorEastAsia" w:hAnsiTheme="minorEastAsia" w:eastAsiaTheme="minorEastAsia"/>
                <w:b/>
                <w:bCs/>
                <w:color w:val="auto"/>
                <w:kern w:val="0"/>
                <w:sz w:val="18"/>
                <w:szCs w:val="18"/>
              </w:rPr>
            </w:pPr>
            <w:r>
              <w:rPr>
                <w:rFonts w:hint="eastAsia" w:cs="宋体" w:asciiTheme="minorEastAsia" w:hAnsiTheme="minorEastAsia" w:eastAsiaTheme="minorEastAsia"/>
                <w:b/>
                <w:bCs/>
                <w:color w:val="auto"/>
                <w:kern w:val="0"/>
                <w:sz w:val="18"/>
                <w:szCs w:val="18"/>
              </w:rPr>
              <w:t>总计</w:t>
            </w:r>
          </w:p>
        </w:tc>
        <w:tc>
          <w:tcPr>
            <w:tcW w:w="1792" w:type="dxa"/>
            <w:gridSpan w:val="2"/>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p>
        </w:tc>
        <w:tc>
          <w:tcPr>
            <w:tcW w:w="1557" w:type="dxa"/>
            <w:gridSpan w:val="2"/>
            <w:noWrap/>
            <w:tcMar>
              <w:top w:w="15" w:type="dxa"/>
              <w:left w:w="15" w:type="dxa"/>
              <w:right w:w="15" w:type="dxa"/>
            </w:tcMar>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p>
        </w:tc>
        <w:tc>
          <w:tcPr>
            <w:tcW w:w="1981" w:type="dxa"/>
            <w:gridSpan w:val="2"/>
            <w:vAlign w:val="center"/>
          </w:tcPr>
          <w:p>
            <w:pPr>
              <w:widowControl/>
              <w:shd w:val="clear"/>
              <w:jc w:val="center"/>
              <w:textAlignment w:val="center"/>
              <w:rPr>
                <w:rFonts w:hint="eastAsia" w:cs="宋体" w:asciiTheme="minorEastAsia" w:hAnsiTheme="minorEastAsia" w:eastAsiaTheme="minorEastAsia"/>
                <w:b/>
                <w:bCs/>
                <w:color w:val="auto"/>
                <w:kern w:val="0"/>
                <w:sz w:val="18"/>
                <w:szCs w:val="18"/>
              </w:rPr>
            </w:pPr>
          </w:p>
        </w:tc>
        <w:tc>
          <w:tcPr>
            <w:tcW w:w="2122" w:type="dxa"/>
            <w:gridSpan w:val="2"/>
            <w:vAlign w:val="center"/>
          </w:tcPr>
          <w:p>
            <w:pPr>
              <w:keepNext w:val="0"/>
              <w:keepLines w:val="0"/>
              <w:widowControl/>
              <w:suppressLineNumbers w:val="0"/>
              <w:jc w:val="center"/>
              <w:textAlignment w:val="center"/>
              <w:rPr>
                <w:rFonts w:hint="default" w:ascii="宋体" w:hAnsi="宋体" w:eastAsia="宋体" w:cs="宋体"/>
                <w:i w:val="0"/>
                <w:iCs w:val="0"/>
                <w:color w:val="000000"/>
                <w:spacing w:val="10"/>
                <w:kern w:val="2"/>
                <w:sz w:val="22"/>
                <w:szCs w:val="22"/>
                <w:u w:val="none"/>
                <w:lang w:val="en-US" w:eastAsia="zh-CN" w:bidi="ar-SA"/>
              </w:rPr>
            </w:pPr>
            <w:r>
              <w:rPr>
                <w:rFonts w:hint="eastAsia" w:cs="宋体" w:asciiTheme="minorEastAsia" w:hAnsiTheme="minorEastAsia" w:eastAsiaTheme="minorEastAsia"/>
                <w:b/>
                <w:bCs/>
                <w:color w:val="auto"/>
                <w:kern w:val="0"/>
                <w:sz w:val="18"/>
                <w:szCs w:val="18"/>
                <w:lang w:val="en-US" w:eastAsia="zh-CN"/>
              </w:rPr>
              <w:t>18089108</w:t>
            </w:r>
          </w:p>
        </w:tc>
      </w:tr>
    </w:tbl>
    <w:p>
      <w:pPr>
        <w:widowControl/>
        <w:shd w:val="clear"/>
        <w:jc w:val="left"/>
        <w:rPr>
          <w:rFonts w:hint="eastAsia" w:asciiTheme="minorEastAsia" w:hAnsiTheme="minorEastAsia" w:eastAsiaTheme="minorEastAsia"/>
          <w:color w:val="auto"/>
          <w:sz w:val="36"/>
        </w:rPr>
      </w:pPr>
    </w:p>
    <w:tbl>
      <w:tblPr>
        <w:tblStyle w:val="18"/>
        <w:tblW w:w="9060" w:type="dxa"/>
        <w:jc w:val="center"/>
        <w:tblLayout w:type="fixed"/>
        <w:tblCellMar>
          <w:top w:w="0" w:type="dxa"/>
          <w:left w:w="108" w:type="dxa"/>
          <w:bottom w:w="0" w:type="dxa"/>
          <w:right w:w="108" w:type="dxa"/>
        </w:tblCellMar>
      </w:tblPr>
      <w:tblGrid>
        <w:gridCol w:w="945"/>
        <w:gridCol w:w="1631"/>
        <w:gridCol w:w="1057"/>
        <w:gridCol w:w="1150"/>
        <w:gridCol w:w="1313"/>
        <w:gridCol w:w="1447"/>
        <w:gridCol w:w="1517"/>
      </w:tblGrid>
      <w:tr>
        <w:tblPrEx>
          <w:tblCellMar>
            <w:top w:w="0" w:type="dxa"/>
            <w:left w:w="108" w:type="dxa"/>
            <w:bottom w:w="0" w:type="dxa"/>
            <w:right w:w="108" w:type="dxa"/>
          </w:tblCellMar>
        </w:tblPrEx>
        <w:trPr>
          <w:trHeight w:val="301" w:hRule="atLeast"/>
          <w:jc w:val="center"/>
        </w:trPr>
        <w:tc>
          <w:tcPr>
            <w:tcW w:w="9060" w:type="dxa"/>
            <w:gridSpan w:val="7"/>
            <w:tcBorders>
              <w:top w:val="nil"/>
              <w:left w:val="nil"/>
              <w:bottom w:val="single" w:color="auto" w:sz="4" w:space="0"/>
              <w:right w:val="nil"/>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val="en-US" w:eastAsia="zh-CN" w:bidi="ar"/>
              </w:rPr>
            </w:pPr>
            <w:r>
              <w:rPr>
                <w:rFonts w:hint="eastAsia" w:ascii="宋体" w:hAnsi="宋体" w:cs="宋体"/>
                <w:b/>
                <w:bCs/>
                <w:color w:val="auto"/>
                <w:kern w:val="0"/>
                <w:sz w:val="21"/>
                <w:szCs w:val="21"/>
                <w:lang w:val="en-US" w:eastAsia="zh-CN" w:bidi="ar"/>
              </w:rPr>
              <w:t>估价对象附属物评估结果一览表</w:t>
            </w:r>
          </w:p>
        </w:tc>
      </w:tr>
      <w:tr>
        <w:tblPrEx>
          <w:tblCellMar>
            <w:top w:w="0" w:type="dxa"/>
            <w:left w:w="108" w:type="dxa"/>
            <w:bottom w:w="0" w:type="dxa"/>
            <w:right w:w="108" w:type="dxa"/>
          </w:tblCellMar>
        </w:tblPrEx>
        <w:trPr>
          <w:trHeight w:val="611" w:hRule="atLeast"/>
          <w:jc w:val="center"/>
        </w:trPr>
        <w:tc>
          <w:tcPr>
            <w:tcW w:w="94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bidi="ar"/>
              </w:rPr>
            </w:pPr>
            <w:r>
              <w:rPr>
                <w:rFonts w:hint="eastAsia" w:ascii="宋体" w:hAnsi="宋体" w:cs="宋体"/>
                <w:b/>
                <w:bCs/>
                <w:color w:val="auto"/>
                <w:kern w:val="0"/>
                <w:sz w:val="21"/>
                <w:szCs w:val="21"/>
                <w:lang w:bidi="ar"/>
              </w:rPr>
              <w:t>序号</w:t>
            </w:r>
          </w:p>
        </w:tc>
        <w:tc>
          <w:tcPr>
            <w:tcW w:w="163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bidi="ar"/>
              </w:rPr>
            </w:pPr>
            <w:r>
              <w:rPr>
                <w:rFonts w:hint="eastAsia" w:ascii="宋体" w:hAnsi="宋体" w:cs="宋体"/>
                <w:b/>
                <w:bCs/>
                <w:color w:val="auto"/>
                <w:kern w:val="0"/>
                <w:sz w:val="21"/>
                <w:szCs w:val="21"/>
                <w:lang w:bidi="ar"/>
              </w:rPr>
              <w:t>名称</w:t>
            </w:r>
          </w:p>
        </w:tc>
        <w:tc>
          <w:tcPr>
            <w:tcW w:w="105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bidi="ar"/>
              </w:rPr>
            </w:pPr>
            <w:r>
              <w:rPr>
                <w:rFonts w:hint="eastAsia" w:ascii="宋体" w:hAnsi="宋体" w:cs="宋体"/>
                <w:b/>
                <w:bCs/>
                <w:color w:val="auto"/>
                <w:kern w:val="0"/>
                <w:sz w:val="21"/>
                <w:szCs w:val="21"/>
                <w:lang w:bidi="ar"/>
              </w:rPr>
              <w:t>数量</w:t>
            </w:r>
          </w:p>
        </w:tc>
        <w:tc>
          <w:tcPr>
            <w:tcW w:w="115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bidi="ar"/>
              </w:rPr>
            </w:pPr>
            <w:r>
              <w:rPr>
                <w:rFonts w:hint="eastAsia" w:ascii="宋体" w:hAnsi="宋体" w:cs="宋体"/>
                <w:b/>
                <w:bCs/>
                <w:color w:val="auto"/>
                <w:kern w:val="0"/>
                <w:sz w:val="21"/>
                <w:szCs w:val="21"/>
                <w:lang w:bidi="ar"/>
              </w:rPr>
              <w:t>单位</w:t>
            </w:r>
          </w:p>
        </w:tc>
        <w:tc>
          <w:tcPr>
            <w:tcW w:w="131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bidi="ar"/>
              </w:rPr>
            </w:pPr>
            <w:r>
              <w:rPr>
                <w:rFonts w:hint="eastAsia" w:ascii="宋体" w:hAnsi="宋体" w:cs="宋体"/>
                <w:b/>
                <w:bCs/>
                <w:color w:val="auto"/>
                <w:kern w:val="0"/>
                <w:sz w:val="21"/>
                <w:szCs w:val="21"/>
                <w:lang w:bidi="ar"/>
              </w:rPr>
              <w:t>结构</w:t>
            </w:r>
          </w:p>
        </w:tc>
        <w:tc>
          <w:tcPr>
            <w:tcW w:w="144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eastAsia="zh-CN" w:bidi="ar"/>
              </w:rPr>
            </w:pPr>
            <w:r>
              <w:rPr>
                <w:rFonts w:hint="eastAsia" w:ascii="宋体" w:hAnsi="宋体" w:cs="宋体"/>
                <w:b/>
                <w:bCs/>
                <w:color w:val="auto"/>
                <w:kern w:val="0"/>
                <w:sz w:val="21"/>
                <w:szCs w:val="21"/>
                <w:lang w:bidi="ar"/>
              </w:rPr>
              <w:t>评估单价</w:t>
            </w:r>
            <w:r>
              <w:rPr>
                <w:rFonts w:hint="eastAsia" w:ascii="宋体" w:hAnsi="宋体" w:cs="宋体"/>
                <w:b/>
                <w:bCs/>
                <w:color w:val="auto"/>
                <w:kern w:val="0"/>
                <w:sz w:val="21"/>
                <w:szCs w:val="21"/>
                <w:lang w:eastAsia="zh-CN" w:bidi="ar"/>
              </w:rPr>
              <w:t>（</w:t>
            </w:r>
            <w:r>
              <w:rPr>
                <w:rFonts w:hint="eastAsia" w:ascii="宋体" w:hAnsi="宋体" w:cs="宋体"/>
                <w:b/>
                <w:bCs/>
                <w:color w:val="auto"/>
                <w:kern w:val="0"/>
                <w:sz w:val="21"/>
                <w:szCs w:val="21"/>
                <w:lang w:val="en-US" w:eastAsia="zh-CN" w:bidi="ar"/>
              </w:rPr>
              <w:t>元</w:t>
            </w:r>
            <w:r>
              <w:rPr>
                <w:rFonts w:hint="eastAsia" w:ascii="宋体" w:hAnsi="宋体" w:cs="宋体"/>
                <w:b/>
                <w:bCs/>
                <w:color w:val="auto"/>
                <w:kern w:val="0"/>
                <w:sz w:val="21"/>
                <w:szCs w:val="21"/>
                <w:lang w:eastAsia="zh-CN" w:bidi="ar"/>
              </w:rPr>
              <w:t>）</w:t>
            </w:r>
          </w:p>
        </w:tc>
        <w:tc>
          <w:tcPr>
            <w:tcW w:w="151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bidi="ar"/>
              </w:rPr>
            </w:pPr>
            <w:r>
              <w:rPr>
                <w:rFonts w:hint="eastAsia" w:ascii="宋体" w:hAnsi="宋体" w:cs="宋体"/>
                <w:b/>
                <w:bCs/>
                <w:color w:val="auto"/>
                <w:kern w:val="0"/>
                <w:sz w:val="21"/>
                <w:szCs w:val="21"/>
                <w:lang w:bidi="ar"/>
              </w:rPr>
              <w:t>总价（元）</w:t>
            </w:r>
          </w:p>
        </w:tc>
      </w:tr>
      <w:tr>
        <w:tblPrEx>
          <w:tblCellMar>
            <w:top w:w="0" w:type="dxa"/>
            <w:left w:w="108" w:type="dxa"/>
            <w:bottom w:w="0" w:type="dxa"/>
            <w:right w:w="108" w:type="dxa"/>
          </w:tblCellMar>
        </w:tblPrEx>
        <w:trPr>
          <w:trHeight w:val="780"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北门门卫左侧房屋</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21.2</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平方米</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砖混</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bidi="ar"/>
              </w:rPr>
            </w:pPr>
            <w:r>
              <w:rPr>
                <w:rFonts w:hint="eastAsia" w:ascii="宋体" w:hAnsi="宋体" w:eastAsia="宋体" w:cs="宋体"/>
                <w:i w:val="0"/>
                <w:iCs w:val="0"/>
                <w:color w:val="000000"/>
                <w:spacing w:val="10"/>
                <w:kern w:val="0"/>
                <w:sz w:val="21"/>
                <w:szCs w:val="21"/>
                <w:u w:val="none"/>
                <w:lang w:val="en-US" w:eastAsia="zh-CN" w:bidi="ar"/>
              </w:rPr>
              <w:t>980</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bidi="ar"/>
              </w:rPr>
            </w:pPr>
            <w:r>
              <w:rPr>
                <w:rFonts w:hint="eastAsia" w:ascii="宋体" w:hAnsi="宋体" w:eastAsia="宋体" w:cs="宋体"/>
                <w:i w:val="0"/>
                <w:iCs w:val="0"/>
                <w:color w:val="000000"/>
                <w:spacing w:val="10"/>
                <w:kern w:val="0"/>
                <w:sz w:val="21"/>
                <w:szCs w:val="21"/>
                <w:u w:val="none"/>
                <w:lang w:val="en-US" w:eastAsia="zh-CN" w:bidi="ar"/>
              </w:rPr>
              <w:t>20776</w:t>
            </w:r>
          </w:p>
        </w:tc>
      </w:tr>
      <w:tr>
        <w:tblPrEx>
          <w:tblCellMar>
            <w:top w:w="0" w:type="dxa"/>
            <w:left w:w="108" w:type="dxa"/>
            <w:bottom w:w="0" w:type="dxa"/>
            <w:right w:w="108" w:type="dxa"/>
          </w:tblCellMar>
        </w:tblPrEx>
        <w:trPr>
          <w:trHeight w:val="649"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南侧配电房</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20.2</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平方米</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砖混</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bidi="ar"/>
              </w:rPr>
            </w:pPr>
            <w:r>
              <w:rPr>
                <w:rFonts w:hint="eastAsia" w:ascii="宋体" w:hAnsi="宋体" w:eastAsia="宋体" w:cs="宋体"/>
                <w:i w:val="0"/>
                <w:iCs w:val="0"/>
                <w:color w:val="000000"/>
                <w:spacing w:val="10"/>
                <w:kern w:val="0"/>
                <w:sz w:val="21"/>
                <w:szCs w:val="21"/>
                <w:u w:val="none"/>
                <w:lang w:val="en-US" w:eastAsia="zh-CN" w:bidi="ar"/>
              </w:rPr>
              <w:t>1120</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bidi="ar"/>
              </w:rPr>
            </w:pPr>
            <w:r>
              <w:rPr>
                <w:rFonts w:hint="eastAsia" w:ascii="宋体" w:hAnsi="宋体" w:eastAsia="宋体" w:cs="宋体"/>
                <w:i w:val="0"/>
                <w:iCs w:val="0"/>
                <w:color w:val="000000"/>
                <w:spacing w:val="10"/>
                <w:kern w:val="0"/>
                <w:sz w:val="21"/>
                <w:szCs w:val="21"/>
                <w:u w:val="none"/>
                <w:lang w:val="en-US" w:eastAsia="zh-CN" w:bidi="ar"/>
              </w:rPr>
              <w:t>22624</w:t>
            </w:r>
          </w:p>
        </w:tc>
      </w:tr>
      <w:tr>
        <w:tblPrEx>
          <w:tblCellMar>
            <w:top w:w="0" w:type="dxa"/>
            <w:left w:w="108" w:type="dxa"/>
            <w:bottom w:w="0" w:type="dxa"/>
            <w:right w:w="108" w:type="dxa"/>
          </w:tblCellMar>
        </w:tblPrEx>
        <w:trPr>
          <w:trHeight w:val="649"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东南角厕所</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33</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平方米</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砖混</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980</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32340</w:t>
            </w:r>
          </w:p>
        </w:tc>
      </w:tr>
      <w:tr>
        <w:tblPrEx>
          <w:tblCellMar>
            <w:top w:w="0" w:type="dxa"/>
            <w:left w:w="108" w:type="dxa"/>
            <w:bottom w:w="0" w:type="dxa"/>
            <w:right w:w="108" w:type="dxa"/>
          </w:tblCellMar>
        </w:tblPrEx>
        <w:trPr>
          <w:trHeight w:val="96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东南角厕所边混合房</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21</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平方米</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砖混</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700</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eastAsia="zh-CN" w:bidi="ar"/>
              </w:rPr>
            </w:pPr>
            <w:r>
              <w:rPr>
                <w:rFonts w:hint="eastAsia" w:ascii="宋体" w:hAnsi="宋体" w:eastAsia="宋体" w:cs="宋体"/>
                <w:i w:val="0"/>
                <w:iCs w:val="0"/>
                <w:color w:val="000000"/>
                <w:spacing w:val="10"/>
                <w:kern w:val="0"/>
                <w:sz w:val="21"/>
                <w:szCs w:val="21"/>
                <w:u w:val="none"/>
                <w:lang w:val="en-US" w:eastAsia="zh-CN" w:bidi="ar"/>
              </w:rPr>
              <w:t>14700</w:t>
            </w:r>
          </w:p>
        </w:tc>
      </w:tr>
      <w:tr>
        <w:tblPrEx>
          <w:tblCellMar>
            <w:top w:w="0" w:type="dxa"/>
            <w:left w:w="108" w:type="dxa"/>
            <w:bottom w:w="0" w:type="dxa"/>
            <w:right w:w="108" w:type="dxa"/>
          </w:tblCellMar>
        </w:tblPrEx>
        <w:trPr>
          <w:trHeight w:val="39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变压器房</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ascii="宋体" w:hAnsi="宋体" w:cs="宋体"/>
                <w:color w:val="auto"/>
                <w:kern w:val="0"/>
                <w:sz w:val="21"/>
                <w:szCs w:val="21"/>
                <w:lang w:val="en-US" w:bidi="ar"/>
              </w:rPr>
            </w:pPr>
            <w:r>
              <w:rPr>
                <w:rFonts w:hint="eastAsia" w:cs="宋体" w:asciiTheme="minorEastAsia" w:hAnsiTheme="minorEastAsia" w:eastAsiaTheme="minorEastAsia"/>
                <w:color w:val="auto"/>
                <w:sz w:val="21"/>
                <w:szCs w:val="21"/>
                <w:lang w:val="en-US" w:eastAsia="zh-CN"/>
              </w:rPr>
              <w:t>12.3</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平方米</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砖混</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1120</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13776</w:t>
            </w:r>
          </w:p>
        </w:tc>
      </w:tr>
      <w:tr>
        <w:tblPrEx>
          <w:tblCellMar>
            <w:top w:w="0" w:type="dxa"/>
            <w:left w:w="108" w:type="dxa"/>
            <w:bottom w:w="0" w:type="dxa"/>
            <w:right w:w="108" w:type="dxa"/>
          </w:tblCellMar>
        </w:tblPrEx>
        <w:trPr>
          <w:trHeight w:val="39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6</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彩钢瓦房</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48</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平方米</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r>
              <w:rPr>
                <w:rFonts w:hint="eastAsia" w:cs="宋体" w:asciiTheme="minorEastAsia" w:hAnsiTheme="minorEastAsia" w:eastAsiaTheme="minorEastAsia"/>
                <w:color w:val="auto"/>
                <w:sz w:val="21"/>
                <w:szCs w:val="21"/>
                <w:lang w:val="en-US" w:eastAsia="zh-CN"/>
              </w:rPr>
              <w:t>彩钢瓦</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240</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11520</w:t>
            </w:r>
          </w:p>
        </w:tc>
      </w:tr>
      <w:tr>
        <w:tblPrEx>
          <w:tblCellMar>
            <w:top w:w="0" w:type="dxa"/>
            <w:left w:w="108" w:type="dxa"/>
            <w:bottom w:w="0" w:type="dxa"/>
            <w:right w:w="108" w:type="dxa"/>
          </w:tblCellMar>
        </w:tblPrEx>
        <w:trPr>
          <w:trHeight w:val="39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7</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水泥地坪</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3762</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平方米</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72</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270864</w:t>
            </w:r>
          </w:p>
        </w:tc>
      </w:tr>
      <w:tr>
        <w:tblPrEx>
          <w:tblCellMar>
            <w:top w:w="0" w:type="dxa"/>
            <w:left w:w="108" w:type="dxa"/>
            <w:bottom w:w="0" w:type="dxa"/>
            <w:right w:w="108" w:type="dxa"/>
          </w:tblCellMar>
        </w:tblPrEx>
        <w:trPr>
          <w:trHeight w:val="39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8</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碎石基础</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600</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平方米</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26</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15600</w:t>
            </w:r>
          </w:p>
        </w:tc>
      </w:tr>
      <w:tr>
        <w:tblPrEx>
          <w:tblCellMar>
            <w:top w:w="0" w:type="dxa"/>
            <w:left w:w="108" w:type="dxa"/>
            <w:bottom w:w="0" w:type="dxa"/>
            <w:right w:w="108" w:type="dxa"/>
          </w:tblCellMar>
        </w:tblPrEx>
        <w:trPr>
          <w:trHeight w:val="39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9</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砖混围墙</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12</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米</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490</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5880</w:t>
            </w:r>
          </w:p>
        </w:tc>
      </w:tr>
      <w:tr>
        <w:tblPrEx>
          <w:tblCellMar>
            <w:top w:w="0" w:type="dxa"/>
            <w:left w:w="108" w:type="dxa"/>
            <w:bottom w:w="0" w:type="dxa"/>
            <w:right w:w="108" w:type="dxa"/>
          </w:tblCellMar>
        </w:tblPrEx>
        <w:trPr>
          <w:trHeight w:val="39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10</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砖混围墙</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267.2</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米</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469</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125317</w:t>
            </w:r>
          </w:p>
        </w:tc>
      </w:tr>
      <w:tr>
        <w:tblPrEx>
          <w:tblCellMar>
            <w:top w:w="0" w:type="dxa"/>
            <w:left w:w="108" w:type="dxa"/>
            <w:bottom w:w="0" w:type="dxa"/>
            <w:right w:w="108" w:type="dxa"/>
          </w:tblCellMar>
        </w:tblPrEx>
        <w:trPr>
          <w:trHeight w:val="39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11</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铁艺围墙</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17</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米</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117</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1989</w:t>
            </w:r>
          </w:p>
        </w:tc>
      </w:tr>
      <w:tr>
        <w:tblPrEx>
          <w:tblCellMar>
            <w:top w:w="0" w:type="dxa"/>
            <w:left w:w="108" w:type="dxa"/>
            <w:bottom w:w="0" w:type="dxa"/>
            <w:right w:w="108" w:type="dxa"/>
          </w:tblCellMar>
        </w:tblPrEx>
        <w:trPr>
          <w:trHeight w:val="395"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12</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围墙</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154</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米</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315</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48510</w:t>
            </w:r>
          </w:p>
        </w:tc>
      </w:tr>
      <w:tr>
        <w:tblPrEx>
          <w:tblCellMar>
            <w:top w:w="0" w:type="dxa"/>
            <w:left w:w="108" w:type="dxa"/>
            <w:bottom w:w="0" w:type="dxa"/>
            <w:right w:w="108" w:type="dxa"/>
          </w:tblCellMar>
        </w:tblPrEx>
        <w:trPr>
          <w:trHeight w:val="649"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13</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铁丝网围挡</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27</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米</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11</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297</w:t>
            </w:r>
          </w:p>
        </w:tc>
      </w:tr>
      <w:tr>
        <w:tblPrEx>
          <w:tblCellMar>
            <w:top w:w="0" w:type="dxa"/>
            <w:left w:w="108" w:type="dxa"/>
            <w:bottom w:w="0" w:type="dxa"/>
            <w:right w:w="108" w:type="dxa"/>
          </w:tblCellMar>
        </w:tblPrEx>
        <w:trPr>
          <w:trHeight w:val="780"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14</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北门造型门楼</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座</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default" w:ascii="宋体" w:hAnsi="宋体" w:cs="宋体"/>
                <w:color w:val="auto"/>
                <w:kern w:val="0"/>
                <w:sz w:val="21"/>
                <w:szCs w:val="21"/>
                <w:lang w:val="en-US" w:eastAsia="zh-CN" w:bidi="ar"/>
              </w:rPr>
            </w:pPr>
            <w:r>
              <w:rPr>
                <w:rFonts w:hint="eastAsia" w:ascii="宋体" w:hAnsi="宋体" w:cs="宋体"/>
                <w:color w:val="auto"/>
                <w:kern w:val="0"/>
                <w:sz w:val="21"/>
                <w:szCs w:val="21"/>
                <w:lang w:val="en-US" w:eastAsia="zh-CN" w:bidi="ar"/>
              </w:rPr>
              <w:t>70000</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70000</w:t>
            </w:r>
          </w:p>
        </w:tc>
      </w:tr>
      <w:tr>
        <w:tblPrEx>
          <w:tblCellMar>
            <w:top w:w="0" w:type="dxa"/>
            <w:left w:w="108" w:type="dxa"/>
            <w:bottom w:w="0" w:type="dxa"/>
            <w:right w:w="108" w:type="dxa"/>
          </w:tblCellMar>
        </w:tblPrEx>
        <w:trPr>
          <w:trHeight w:val="780"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15</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西门造型门楼</w:t>
            </w: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val="en-US" w:eastAsia="zh-CN" w:bidi="ar"/>
              </w:rPr>
            </w:pPr>
            <w:r>
              <w:rPr>
                <w:rFonts w:hint="eastAsia" w:cs="宋体" w:asciiTheme="minorEastAsia" w:hAnsiTheme="minorEastAsia" w:eastAsiaTheme="minorEastAsia"/>
                <w:color w:val="auto"/>
                <w:sz w:val="21"/>
                <w:szCs w:val="21"/>
                <w:lang w:val="en-US" w:eastAsia="zh-CN"/>
              </w:rPr>
              <w:t>座</w:t>
            </w: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ascii="宋体" w:hAnsi="宋体" w:cs="宋体"/>
                <w:color w:val="auto"/>
                <w:kern w:val="0"/>
                <w:sz w:val="21"/>
                <w:szCs w:val="21"/>
                <w:lang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default" w:ascii="宋体" w:hAnsi="宋体" w:cs="宋体"/>
                <w:color w:val="auto"/>
                <w:kern w:val="0"/>
                <w:sz w:val="21"/>
                <w:szCs w:val="21"/>
                <w:lang w:val="en-US" w:eastAsia="zh-CN" w:bidi="ar"/>
              </w:rPr>
            </w:pPr>
            <w:r>
              <w:rPr>
                <w:rFonts w:hint="eastAsia" w:ascii="宋体" w:hAnsi="宋体" w:cs="宋体"/>
                <w:color w:val="auto"/>
                <w:kern w:val="0"/>
                <w:sz w:val="21"/>
                <w:szCs w:val="21"/>
                <w:lang w:val="en-US" w:eastAsia="zh-CN" w:bidi="ar"/>
              </w:rPr>
              <w:t>28000</w:t>
            </w: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1"/>
                <w:szCs w:val="21"/>
                <w:lang w:val="en-US" w:eastAsia="zh-CN" w:bidi="ar"/>
              </w:rPr>
            </w:pPr>
            <w:r>
              <w:rPr>
                <w:rFonts w:hint="eastAsia" w:ascii="宋体" w:hAnsi="宋体" w:eastAsia="宋体" w:cs="宋体"/>
                <w:i w:val="0"/>
                <w:iCs w:val="0"/>
                <w:color w:val="000000"/>
                <w:spacing w:val="10"/>
                <w:kern w:val="0"/>
                <w:sz w:val="21"/>
                <w:szCs w:val="21"/>
                <w:u w:val="none"/>
                <w:lang w:val="en-US" w:eastAsia="zh-CN" w:bidi="ar"/>
              </w:rPr>
              <w:t>28000</w:t>
            </w:r>
          </w:p>
        </w:tc>
      </w:tr>
      <w:tr>
        <w:tblPrEx>
          <w:tblCellMar>
            <w:top w:w="0" w:type="dxa"/>
            <w:left w:w="108" w:type="dxa"/>
            <w:bottom w:w="0" w:type="dxa"/>
            <w:right w:w="108" w:type="dxa"/>
          </w:tblCellMar>
        </w:tblPrEx>
        <w:trPr>
          <w:trHeight w:val="353" w:hRule="atLeast"/>
          <w:jc w:val="center"/>
        </w:trPr>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color w:val="auto"/>
                <w:kern w:val="0"/>
                <w:sz w:val="21"/>
                <w:szCs w:val="21"/>
                <w:lang w:bidi="ar"/>
              </w:rPr>
            </w:pPr>
            <w:r>
              <w:rPr>
                <w:rFonts w:hint="eastAsia" w:ascii="宋体" w:hAnsi="宋体" w:cs="宋体"/>
                <w:color w:val="auto"/>
                <w:kern w:val="0"/>
                <w:sz w:val="21"/>
                <w:szCs w:val="21"/>
                <w:lang w:bidi="ar"/>
              </w:rPr>
              <w:t>合计</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color w:val="auto"/>
                <w:kern w:val="0"/>
                <w:sz w:val="21"/>
                <w:szCs w:val="21"/>
                <w:lang w:bidi="ar"/>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color w:val="auto"/>
                <w:kern w:val="0"/>
                <w:sz w:val="21"/>
                <w:szCs w:val="21"/>
                <w:lang w:bidi="ar"/>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color w:val="auto"/>
                <w:kern w:val="0"/>
                <w:sz w:val="21"/>
                <w:szCs w:val="21"/>
                <w:lang w:bidi="ar"/>
              </w:rPr>
            </w:pPr>
          </w:p>
        </w:tc>
        <w:tc>
          <w:tcPr>
            <w:tcW w:w="13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color w:val="auto"/>
                <w:kern w:val="0"/>
                <w:sz w:val="21"/>
                <w:szCs w:val="21"/>
                <w:lang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color w:val="auto"/>
                <w:kern w:val="0"/>
                <w:sz w:val="21"/>
                <w:szCs w:val="21"/>
                <w:lang w:bidi="ar"/>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default" w:ascii="宋体" w:hAnsi="宋体" w:cs="宋体"/>
                <w:color w:val="auto"/>
                <w:kern w:val="0"/>
                <w:sz w:val="21"/>
                <w:szCs w:val="21"/>
                <w:lang w:val="en-US" w:eastAsia="zh-CN" w:bidi="ar"/>
              </w:rPr>
            </w:pPr>
            <w:r>
              <w:rPr>
                <w:rFonts w:hint="eastAsia" w:ascii="宋体" w:hAnsi="宋体" w:cs="宋体"/>
                <w:color w:val="auto"/>
                <w:kern w:val="0"/>
                <w:sz w:val="21"/>
                <w:szCs w:val="21"/>
                <w:lang w:val="en-US" w:eastAsia="zh-CN" w:bidi="ar"/>
              </w:rPr>
              <w:t>682193</w:t>
            </w:r>
          </w:p>
        </w:tc>
      </w:tr>
    </w:tbl>
    <w:p>
      <w:pPr>
        <w:pStyle w:val="8"/>
        <w:shd w:val="clear"/>
        <w:snapToGrid w:val="0"/>
        <w:spacing w:line="500" w:lineRule="exact"/>
        <w:ind w:left="0"/>
        <w:rPr>
          <w:rFonts w:asciiTheme="minorEastAsia" w:hAnsiTheme="minorEastAsia" w:eastAsiaTheme="minorEastAsia"/>
          <w:b/>
          <w:color w:val="auto"/>
          <w:sz w:val="24"/>
          <w:szCs w:val="24"/>
        </w:rPr>
      </w:pPr>
    </w:p>
    <w:tbl>
      <w:tblPr>
        <w:tblStyle w:val="18"/>
        <w:tblW w:w="9260" w:type="dxa"/>
        <w:jc w:val="center"/>
        <w:tblLayout w:type="fixed"/>
        <w:tblCellMar>
          <w:top w:w="0" w:type="dxa"/>
          <w:left w:w="108" w:type="dxa"/>
          <w:bottom w:w="0" w:type="dxa"/>
          <w:right w:w="108" w:type="dxa"/>
        </w:tblCellMar>
      </w:tblPr>
      <w:tblGrid>
        <w:gridCol w:w="897"/>
        <w:gridCol w:w="1384"/>
        <w:gridCol w:w="999"/>
        <w:gridCol w:w="868"/>
        <w:gridCol w:w="1269"/>
        <w:gridCol w:w="941"/>
        <w:gridCol w:w="1499"/>
        <w:gridCol w:w="1403"/>
      </w:tblGrid>
      <w:tr>
        <w:tblPrEx>
          <w:tblCellMar>
            <w:top w:w="0" w:type="dxa"/>
            <w:left w:w="108" w:type="dxa"/>
            <w:bottom w:w="0" w:type="dxa"/>
            <w:right w:w="108" w:type="dxa"/>
          </w:tblCellMar>
        </w:tblPrEx>
        <w:trPr>
          <w:trHeight w:val="385" w:hRule="atLeast"/>
          <w:tblHeader/>
          <w:jc w:val="center"/>
        </w:trPr>
        <w:tc>
          <w:tcPr>
            <w:tcW w:w="9260" w:type="dxa"/>
            <w:gridSpan w:val="8"/>
            <w:tcBorders>
              <w:top w:val="nil"/>
              <w:left w:val="nil"/>
              <w:bottom w:val="single" w:color="auto" w:sz="4" w:space="0"/>
              <w:right w:val="nil"/>
            </w:tcBorders>
            <w:shd w:val="clear" w:color="auto" w:fill="auto"/>
            <w:noWrap/>
            <w:vAlign w:val="center"/>
          </w:tcPr>
          <w:p>
            <w:pPr>
              <w:shd w:val="clear"/>
              <w:spacing w:line="330" w:lineRule="exact"/>
              <w:ind w:firstLine="316" w:firstLineChars="150"/>
              <w:jc w:val="center"/>
              <w:rPr>
                <w:rFonts w:hint="eastAsia" w:ascii="宋体" w:hAnsi="宋体" w:cs="宋体" w:eastAsiaTheme="minorEastAsia"/>
                <w:b/>
                <w:bCs/>
                <w:color w:val="auto"/>
                <w:kern w:val="0"/>
                <w:sz w:val="21"/>
                <w:szCs w:val="21"/>
                <w:lang w:eastAsia="zh-CN" w:bidi="ar"/>
              </w:rPr>
            </w:pPr>
            <w:r>
              <w:rPr>
                <w:rFonts w:hint="eastAsia" w:asciiTheme="minorEastAsia" w:hAnsiTheme="minorEastAsia" w:eastAsiaTheme="minorEastAsia"/>
                <w:b/>
                <w:bCs/>
                <w:color w:val="auto"/>
                <w:spacing w:val="0"/>
                <w:sz w:val="21"/>
                <w:szCs w:val="21"/>
              </w:rPr>
              <w:t>估价对象</w:t>
            </w:r>
            <w:r>
              <w:rPr>
                <w:rFonts w:hint="eastAsia" w:asciiTheme="minorEastAsia" w:hAnsiTheme="minorEastAsia" w:eastAsiaTheme="minorEastAsia"/>
                <w:b/>
                <w:bCs/>
                <w:color w:val="auto"/>
                <w:spacing w:val="0"/>
                <w:sz w:val="21"/>
                <w:szCs w:val="21"/>
                <w:lang w:eastAsia="zh-CN"/>
              </w:rPr>
              <w:t>绿化苗木</w:t>
            </w:r>
            <w:r>
              <w:rPr>
                <w:rFonts w:hint="eastAsia" w:ascii="宋体" w:hAnsi="宋体" w:cs="宋体"/>
                <w:b/>
                <w:bCs/>
                <w:color w:val="auto"/>
                <w:kern w:val="0"/>
                <w:sz w:val="21"/>
                <w:szCs w:val="21"/>
                <w:lang w:val="en-US" w:eastAsia="zh-CN" w:bidi="ar"/>
              </w:rPr>
              <w:t>评估结果</w:t>
            </w:r>
            <w:r>
              <w:rPr>
                <w:rFonts w:hint="eastAsia" w:asciiTheme="minorEastAsia" w:hAnsiTheme="minorEastAsia" w:eastAsiaTheme="minorEastAsia"/>
                <w:b/>
                <w:bCs/>
                <w:color w:val="auto"/>
                <w:spacing w:val="0"/>
                <w:sz w:val="21"/>
                <w:szCs w:val="21"/>
                <w:lang w:eastAsia="zh-CN"/>
              </w:rPr>
              <w:t>一览表</w:t>
            </w:r>
          </w:p>
        </w:tc>
      </w:tr>
      <w:tr>
        <w:tblPrEx>
          <w:tblCellMar>
            <w:top w:w="0" w:type="dxa"/>
            <w:left w:w="108" w:type="dxa"/>
            <w:bottom w:w="0" w:type="dxa"/>
            <w:right w:w="108" w:type="dxa"/>
          </w:tblCellMar>
        </w:tblPrEx>
        <w:trPr>
          <w:trHeight w:val="738" w:hRule="atLeast"/>
          <w:tblHeader/>
          <w:jc w:val="center"/>
        </w:trPr>
        <w:tc>
          <w:tcPr>
            <w:tcW w:w="89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序号</w:t>
            </w:r>
          </w:p>
        </w:tc>
        <w:tc>
          <w:tcPr>
            <w:tcW w:w="138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名称</w:t>
            </w:r>
          </w:p>
        </w:tc>
        <w:tc>
          <w:tcPr>
            <w:tcW w:w="99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数量</w:t>
            </w:r>
          </w:p>
        </w:tc>
        <w:tc>
          <w:tcPr>
            <w:tcW w:w="86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单位</w:t>
            </w:r>
          </w:p>
        </w:tc>
        <w:tc>
          <w:tcPr>
            <w:tcW w:w="126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eastAsia="宋体" w:cs="宋体"/>
                <w:b/>
                <w:bCs/>
                <w:color w:val="auto"/>
                <w:sz w:val="21"/>
                <w:szCs w:val="21"/>
                <w:lang w:eastAsia="zh-CN"/>
              </w:rPr>
            </w:pPr>
            <w:r>
              <w:rPr>
                <w:rFonts w:hint="eastAsia" w:ascii="宋体" w:hAnsi="宋体" w:cs="宋体"/>
                <w:b/>
                <w:bCs/>
                <w:color w:val="auto"/>
                <w:kern w:val="0"/>
                <w:sz w:val="21"/>
                <w:szCs w:val="21"/>
                <w:lang w:eastAsia="zh-CN" w:bidi="ar"/>
              </w:rPr>
              <w:t>米径（</w:t>
            </w:r>
            <w:r>
              <w:rPr>
                <w:rFonts w:hint="eastAsia" w:ascii="宋体" w:hAnsi="宋体" w:cs="宋体"/>
                <w:b/>
                <w:bCs/>
                <w:color w:val="auto"/>
                <w:kern w:val="0"/>
                <w:sz w:val="21"/>
                <w:szCs w:val="21"/>
                <w:lang w:val="en-US" w:eastAsia="zh-CN" w:bidi="ar"/>
              </w:rPr>
              <w:t>cm</w:t>
            </w:r>
            <w:r>
              <w:rPr>
                <w:rFonts w:hint="eastAsia" w:ascii="宋体" w:hAnsi="宋体" w:cs="宋体"/>
                <w:b/>
                <w:bCs/>
                <w:color w:val="auto"/>
                <w:kern w:val="0"/>
                <w:sz w:val="21"/>
                <w:szCs w:val="21"/>
                <w:lang w:eastAsia="zh-CN" w:bidi="ar"/>
              </w:rPr>
              <w:t>）</w:t>
            </w:r>
          </w:p>
        </w:tc>
        <w:tc>
          <w:tcPr>
            <w:tcW w:w="94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备注</w:t>
            </w:r>
          </w:p>
        </w:tc>
        <w:tc>
          <w:tcPr>
            <w:tcW w:w="149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default" w:ascii="宋体" w:hAnsi="宋体" w:eastAsia="宋体" w:cs="宋体"/>
                <w:b/>
                <w:bCs/>
                <w:color w:val="auto"/>
                <w:kern w:val="0"/>
                <w:sz w:val="21"/>
                <w:szCs w:val="21"/>
                <w:lang w:val="en-US" w:eastAsia="zh-CN" w:bidi="ar"/>
              </w:rPr>
            </w:pPr>
            <w:r>
              <w:rPr>
                <w:rFonts w:hint="eastAsia" w:ascii="宋体" w:hAnsi="宋体" w:cs="宋体"/>
                <w:b/>
                <w:bCs/>
                <w:color w:val="auto"/>
                <w:kern w:val="0"/>
                <w:sz w:val="21"/>
                <w:szCs w:val="21"/>
                <w:lang w:val="en-US" w:eastAsia="zh-CN" w:bidi="ar"/>
              </w:rPr>
              <w:t>评估单价（元）</w:t>
            </w:r>
          </w:p>
        </w:tc>
        <w:tc>
          <w:tcPr>
            <w:tcW w:w="140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bidi="ar"/>
              </w:rPr>
            </w:pPr>
            <w:r>
              <w:rPr>
                <w:rFonts w:hint="eastAsia" w:ascii="宋体" w:hAnsi="宋体" w:cs="宋体"/>
                <w:b/>
                <w:bCs/>
                <w:color w:val="auto"/>
                <w:kern w:val="0"/>
                <w:sz w:val="21"/>
                <w:szCs w:val="21"/>
                <w:lang w:val="en-US" w:eastAsia="zh-CN" w:bidi="ar"/>
              </w:rPr>
              <w:t>评估总价（元）</w:t>
            </w:r>
          </w:p>
        </w:tc>
      </w:tr>
      <w:tr>
        <w:tblPrEx>
          <w:tblCellMar>
            <w:top w:w="0" w:type="dxa"/>
            <w:left w:w="108" w:type="dxa"/>
            <w:bottom w:w="0" w:type="dxa"/>
            <w:right w:w="108" w:type="dxa"/>
          </w:tblCellMar>
        </w:tblPrEx>
        <w:trPr>
          <w:trHeight w:val="527"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桂花树</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0-5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多杆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213</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1065</w:t>
            </w:r>
          </w:p>
        </w:tc>
      </w:tr>
      <w:tr>
        <w:tblPrEx>
          <w:tblCellMar>
            <w:top w:w="0" w:type="dxa"/>
            <w:left w:w="108" w:type="dxa"/>
            <w:bottom w:w="0" w:type="dxa"/>
            <w:right w:w="108" w:type="dxa"/>
          </w:tblCellMar>
        </w:tblPrEx>
        <w:trPr>
          <w:trHeight w:val="533"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桂花树</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5-10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三杆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340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340</w:t>
            </w:r>
          </w:p>
        </w:tc>
      </w:tr>
      <w:tr>
        <w:tblPrEx>
          <w:tblCellMar>
            <w:top w:w="0" w:type="dxa"/>
            <w:left w:w="108" w:type="dxa"/>
            <w:bottom w:w="0" w:type="dxa"/>
            <w:right w:w="108" w:type="dxa"/>
          </w:tblCellMar>
        </w:tblPrEx>
        <w:trPr>
          <w:trHeight w:val="533"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桂花树</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6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5-10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420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2520</w:t>
            </w:r>
          </w:p>
        </w:tc>
      </w:tr>
      <w:tr>
        <w:tblPrEx>
          <w:tblCellMar>
            <w:top w:w="0" w:type="dxa"/>
            <w:left w:w="108" w:type="dxa"/>
            <w:bottom w:w="0" w:type="dxa"/>
            <w:right w:w="108" w:type="dxa"/>
          </w:tblCellMar>
        </w:tblPrEx>
        <w:trPr>
          <w:trHeight w:val="533"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4</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桂花树</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15-20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多杆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940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940</w:t>
            </w:r>
          </w:p>
        </w:tc>
      </w:tr>
      <w:tr>
        <w:tblPrEx>
          <w:tblCellMar>
            <w:top w:w="0" w:type="dxa"/>
            <w:left w:w="108" w:type="dxa"/>
            <w:bottom w:w="0" w:type="dxa"/>
            <w:right w:w="108" w:type="dxa"/>
          </w:tblCellMar>
        </w:tblPrEx>
        <w:trPr>
          <w:trHeight w:val="533"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桂花树</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10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多杆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680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6800</w:t>
            </w:r>
          </w:p>
        </w:tc>
      </w:tr>
      <w:tr>
        <w:tblPrEx>
          <w:tblCellMar>
            <w:top w:w="0" w:type="dxa"/>
            <w:left w:w="108" w:type="dxa"/>
            <w:bottom w:w="0" w:type="dxa"/>
            <w:right w:w="108" w:type="dxa"/>
          </w:tblCellMar>
        </w:tblPrEx>
        <w:trPr>
          <w:trHeight w:val="533"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6</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广玉兰</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3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1030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3090</w:t>
            </w:r>
          </w:p>
        </w:tc>
      </w:tr>
      <w:tr>
        <w:tblPrEx>
          <w:tblCellMar>
            <w:top w:w="0" w:type="dxa"/>
            <w:left w:w="108" w:type="dxa"/>
            <w:bottom w:w="0" w:type="dxa"/>
            <w:right w:w="108" w:type="dxa"/>
          </w:tblCellMar>
        </w:tblPrEx>
        <w:trPr>
          <w:trHeight w:val="533"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7</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广玉兰</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20-25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2500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2500</w:t>
            </w:r>
          </w:p>
        </w:tc>
      </w:tr>
      <w:tr>
        <w:tblPrEx>
          <w:tblCellMar>
            <w:top w:w="0" w:type="dxa"/>
            <w:left w:w="108" w:type="dxa"/>
            <w:bottom w:w="0" w:type="dxa"/>
            <w:right w:w="108" w:type="dxa"/>
          </w:tblCellMar>
        </w:tblPrEx>
        <w:trPr>
          <w:trHeight w:val="533"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8</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桑树</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700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700</w:t>
            </w:r>
          </w:p>
        </w:tc>
      </w:tr>
      <w:tr>
        <w:tblPrEx>
          <w:tblCellMar>
            <w:top w:w="0" w:type="dxa"/>
            <w:left w:w="108" w:type="dxa"/>
            <w:bottom w:w="0" w:type="dxa"/>
            <w:right w:w="108" w:type="dxa"/>
          </w:tblCellMar>
        </w:tblPrEx>
        <w:trPr>
          <w:trHeight w:val="533"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9</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桑树</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20-30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三杆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2000</w:t>
            </w:r>
          </w:p>
        </w:tc>
      </w:tr>
      <w:tr>
        <w:tblPrEx>
          <w:tblCellMar>
            <w:top w:w="0" w:type="dxa"/>
            <w:left w:w="108" w:type="dxa"/>
            <w:bottom w:w="0" w:type="dxa"/>
            <w:right w:w="108" w:type="dxa"/>
          </w:tblCellMar>
        </w:tblPrEx>
        <w:trPr>
          <w:trHeight w:val="533"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紫薇</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5-10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164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164</w:t>
            </w:r>
          </w:p>
        </w:tc>
      </w:tr>
      <w:tr>
        <w:tblPrEx>
          <w:tblCellMar>
            <w:top w:w="0" w:type="dxa"/>
            <w:left w:w="108" w:type="dxa"/>
            <w:bottom w:w="0" w:type="dxa"/>
            <w:right w:w="108" w:type="dxa"/>
          </w:tblCellMar>
        </w:tblPrEx>
        <w:trPr>
          <w:trHeight w:val="533"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11</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紫薇</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1600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1600</w:t>
            </w:r>
          </w:p>
        </w:tc>
      </w:tr>
      <w:tr>
        <w:tblPrEx>
          <w:tblCellMar>
            <w:top w:w="0" w:type="dxa"/>
            <w:left w:w="108" w:type="dxa"/>
            <w:bottom w:w="0" w:type="dxa"/>
            <w:right w:w="108" w:type="dxa"/>
          </w:tblCellMar>
        </w:tblPrEx>
        <w:trPr>
          <w:trHeight w:val="533"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12</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棕榈树</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3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218</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654</w:t>
            </w:r>
          </w:p>
        </w:tc>
      </w:tr>
      <w:tr>
        <w:tblPrEx>
          <w:tblCellMar>
            <w:top w:w="0" w:type="dxa"/>
            <w:left w:w="108" w:type="dxa"/>
            <w:bottom w:w="0" w:type="dxa"/>
            <w:right w:w="108" w:type="dxa"/>
          </w:tblCellMar>
        </w:tblPrEx>
        <w:trPr>
          <w:trHeight w:val="533"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13</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棕榈树</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 xml:space="preserve">1 </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20-25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436</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436</w:t>
            </w:r>
          </w:p>
        </w:tc>
      </w:tr>
      <w:tr>
        <w:tblPrEx>
          <w:tblCellMar>
            <w:top w:w="0" w:type="dxa"/>
            <w:left w:w="108" w:type="dxa"/>
            <w:bottom w:w="0" w:type="dxa"/>
            <w:right w:w="108" w:type="dxa"/>
          </w:tblCellMar>
        </w:tblPrEx>
        <w:trPr>
          <w:trHeight w:val="533"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14</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香樟</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0-5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30</w:t>
            </w:r>
          </w:p>
        </w:tc>
      </w:tr>
      <w:tr>
        <w:tblPrEx>
          <w:tblCellMar>
            <w:top w:w="0" w:type="dxa"/>
            <w:left w:w="108" w:type="dxa"/>
            <w:bottom w:w="0" w:type="dxa"/>
            <w:right w:w="108" w:type="dxa"/>
          </w:tblCellMar>
        </w:tblPrEx>
        <w:trPr>
          <w:trHeight w:val="533"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15</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香樟</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10-15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1180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1180</w:t>
            </w:r>
          </w:p>
        </w:tc>
      </w:tr>
      <w:tr>
        <w:tblPrEx>
          <w:tblCellMar>
            <w:top w:w="0" w:type="dxa"/>
            <w:left w:w="108" w:type="dxa"/>
            <w:bottom w:w="0" w:type="dxa"/>
            <w:right w:w="108" w:type="dxa"/>
          </w:tblCellMar>
        </w:tblPrEx>
        <w:trPr>
          <w:trHeight w:val="533"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16</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香樟</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15-20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1980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39600</w:t>
            </w:r>
          </w:p>
        </w:tc>
      </w:tr>
      <w:tr>
        <w:tblPrEx>
          <w:tblCellMar>
            <w:top w:w="0" w:type="dxa"/>
            <w:left w:w="108" w:type="dxa"/>
            <w:bottom w:w="0" w:type="dxa"/>
            <w:right w:w="108" w:type="dxa"/>
          </w:tblCellMar>
        </w:tblPrEx>
        <w:trPr>
          <w:trHeight w:val="533"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17</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香樟</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25-30</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3000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3000</w:t>
            </w:r>
          </w:p>
        </w:tc>
      </w:tr>
      <w:tr>
        <w:tblPrEx>
          <w:tblCellMar>
            <w:top w:w="0" w:type="dxa"/>
            <w:left w:w="108" w:type="dxa"/>
            <w:bottom w:w="0" w:type="dxa"/>
            <w:right w:w="108" w:type="dxa"/>
          </w:tblCellMar>
        </w:tblPrEx>
        <w:trPr>
          <w:trHeight w:val="533"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18</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香樟</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棵</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30-35</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4500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13500</w:t>
            </w:r>
          </w:p>
        </w:tc>
      </w:tr>
      <w:tr>
        <w:tblPrEx>
          <w:tblCellMar>
            <w:top w:w="0" w:type="dxa"/>
            <w:left w:w="108" w:type="dxa"/>
            <w:bottom w:w="0" w:type="dxa"/>
            <w:right w:w="108" w:type="dxa"/>
          </w:tblCellMar>
        </w:tblPrEx>
        <w:trPr>
          <w:trHeight w:val="920"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19</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绿化带</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190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平方米</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28500</w:t>
            </w:r>
          </w:p>
        </w:tc>
      </w:tr>
      <w:tr>
        <w:tblPrEx>
          <w:tblCellMar>
            <w:top w:w="0" w:type="dxa"/>
            <w:left w:w="108" w:type="dxa"/>
            <w:bottom w:w="0" w:type="dxa"/>
            <w:right w:w="108" w:type="dxa"/>
          </w:tblCellMar>
        </w:tblPrEx>
        <w:trPr>
          <w:trHeight w:val="599" w:hRule="atLeast"/>
          <w:jc w:val="center"/>
        </w:trPr>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合计</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108619</w:t>
            </w:r>
          </w:p>
        </w:tc>
      </w:tr>
    </w:tbl>
    <w:p>
      <w:pPr>
        <w:pStyle w:val="8"/>
        <w:shd w:val="clear"/>
        <w:snapToGrid w:val="0"/>
        <w:spacing w:line="500" w:lineRule="exact"/>
        <w:ind w:left="0"/>
        <w:rPr>
          <w:rFonts w:asciiTheme="minorEastAsia" w:hAnsiTheme="minorEastAsia" w:eastAsiaTheme="minorEastAsia"/>
          <w:b/>
          <w:color w:val="auto"/>
          <w:sz w:val="24"/>
          <w:szCs w:val="24"/>
        </w:rPr>
      </w:pPr>
    </w:p>
    <w:tbl>
      <w:tblPr>
        <w:tblStyle w:val="18"/>
        <w:tblW w:w="9240" w:type="dxa"/>
        <w:jc w:val="center"/>
        <w:tblLayout w:type="fixed"/>
        <w:tblCellMar>
          <w:top w:w="0" w:type="dxa"/>
          <w:left w:w="108" w:type="dxa"/>
          <w:bottom w:w="0" w:type="dxa"/>
          <w:right w:w="108" w:type="dxa"/>
        </w:tblCellMar>
      </w:tblPr>
      <w:tblGrid>
        <w:gridCol w:w="924"/>
        <w:gridCol w:w="1373"/>
        <w:gridCol w:w="989"/>
        <w:gridCol w:w="1339"/>
        <w:gridCol w:w="1657"/>
        <w:gridCol w:w="1529"/>
        <w:gridCol w:w="1429"/>
      </w:tblGrid>
      <w:tr>
        <w:tblPrEx>
          <w:tblCellMar>
            <w:top w:w="0" w:type="dxa"/>
            <w:left w:w="108" w:type="dxa"/>
            <w:bottom w:w="0" w:type="dxa"/>
            <w:right w:w="108" w:type="dxa"/>
          </w:tblCellMar>
        </w:tblPrEx>
        <w:trPr>
          <w:trHeight w:val="272" w:hRule="atLeast"/>
          <w:jc w:val="center"/>
        </w:trPr>
        <w:tc>
          <w:tcPr>
            <w:tcW w:w="9240" w:type="dxa"/>
            <w:gridSpan w:val="7"/>
            <w:tcBorders>
              <w:top w:val="nil"/>
              <w:left w:val="nil"/>
              <w:bottom w:val="single" w:color="auto" w:sz="4" w:space="0"/>
              <w:right w:val="nil"/>
            </w:tcBorders>
            <w:shd w:val="clear" w:color="auto" w:fill="auto"/>
            <w:noWrap/>
            <w:vAlign w:val="center"/>
          </w:tcPr>
          <w:p>
            <w:pPr>
              <w:shd w:val="clear"/>
              <w:spacing w:line="330" w:lineRule="exact"/>
              <w:ind w:firstLine="316" w:firstLineChars="150"/>
              <w:jc w:val="center"/>
              <w:rPr>
                <w:rFonts w:hint="eastAsia" w:asciiTheme="minorEastAsia" w:hAnsiTheme="minorEastAsia" w:eastAsiaTheme="minorEastAsia"/>
                <w:b/>
                <w:bCs/>
                <w:color w:val="auto"/>
                <w:spacing w:val="0"/>
                <w:sz w:val="21"/>
                <w:szCs w:val="21"/>
              </w:rPr>
            </w:pPr>
            <w:r>
              <w:rPr>
                <w:rFonts w:hint="eastAsia" w:asciiTheme="minorEastAsia" w:hAnsiTheme="minorEastAsia" w:eastAsiaTheme="minorEastAsia"/>
                <w:b/>
                <w:bCs/>
                <w:color w:val="auto"/>
                <w:spacing w:val="0"/>
                <w:sz w:val="21"/>
                <w:szCs w:val="21"/>
              </w:rPr>
              <w:t>估价对象</w:t>
            </w:r>
            <w:r>
              <w:rPr>
                <w:rFonts w:hint="eastAsia" w:asciiTheme="minorEastAsia" w:hAnsiTheme="minorEastAsia" w:eastAsiaTheme="minorEastAsia"/>
                <w:b/>
                <w:bCs/>
                <w:color w:val="auto"/>
                <w:spacing w:val="0"/>
                <w:sz w:val="21"/>
                <w:szCs w:val="21"/>
                <w:lang w:eastAsia="zh-CN"/>
              </w:rPr>
              <w:t>设备</w:t>
            </w:r>
            <w:r>
              <w:rPr>
                <w:rFonts w:hint="eastAsia" w:ascii="宋体" w:hAnsi="宋体" w:cs="宋体"/>
                <w:b/>
                <w:bCs/>
                <w:color w:val="auto"/>
                <w:kern w:val="0"/>
                <w:sz w:val="21"/>
                <w:szCs w:val="21"/>
                <w:lang w:val="en-US" w:eastAsia="zh-CN" w:bidi="ar"/>
              </w:rPr>
              <w:t>评估结果</w:t>
            </w:r>
            <w:r>
              <w:rPr>
                <w:rFonts w:hint="eastAsia" w:asciiTheme="minorEastAsia" w:hAnsiTheme="minorEastAsia" w:eastAsiaTheme="minorEastAsia"/>
                <w:b/>
                <w:bCs/>
                <w:color w:val="auto"/>
                <w:spacing w:val="0"/>
                <w:sz w:val="21"/>
                <w:szCs w:val="21"/>
                <w:lang w:eastAsia="zh-CN"/>
              </w:rPr>
              <w:t>一览表</w:t>
            </w:r>
          </w:p>
        </w:tc>
      </w:tr>
      <w:tr>
        <w:tblPrEx>
          <w:tblCellMar>
            <w:top w:w="0" w:type="dxa"/>
            <w:left w:w="108" w:type="dxa"/>
            <w:bottom w:w="0" w:type="dxa"/>
            <w:right w:w="108" w:type="dxa"/>
          </w:tblCellMar>
        </w:tblPrEx>
        <w:trPr>
          <w:trHeight w:val="540" w:hRule="atLeast"/>
          <w:jc w:val="center"/>
        </w:trPr>
        <w:tc>
          <w:tcPr>
            <w:tcW w:w="92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序号</w:t>
            </w:r>
          </w:p>
        </w:tc>
        <w:tc>
          <w:tcPr>
            <w:tcW w:w="137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名称</w:t>
            </w:r>
          </w:p>
        </w:tc>
        <w:tc>
          <w:tcPr>
            <w:tcW w:w="98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数量</w:t>
            </w:r>
          </w:p>
        </w:tc>
        <w:tc>
          <w:tcPr>
            <w:tcW w:w="133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ascii="宋体" w:hAnsi="宋体" w:cs="宋体"/>
                <w:b/>
                <w:bCs/>
                <w:color w:val="auto"/>
                <w:sz w:val="21"/>
                <w:szCs w:val="21"/>
              </w:rPr>
            </w:pPr>
            <w:r>
              <w:rPr>
                <w:rFonts w:hint="eastAsia" w:ascii="宋体" w:hAnsi="宋体" w:cs="宋体"/>
                <w:b/>
                <w:bCs/>
                <w:color w:val="auto"/>
                <w:kern w:val="0"/>
                <w:sz w:val="21"/>
                <w:szCs w:val="21"/>
                <w:lang w:bidi="ar"/>
              </w:rPr>
              <w:t>单位</w:t>
            </w:r>
          </w:p>
        </w:tc>
        <w:tc>
          <w:tcPr>
            <w:tcW w:w="165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bidi="ar"/>
              </w:rPr>
            </w:pPr>
            <w:r>
              <w:rPr>
                <w:rFonts w:hint="eastAsia" w:ascii="宋体" w:hAnsi="宋体" w:cs="宋体"/>
                <w:b/>
                <w:bCs/>
                <w:color w:val="auto"/>
                <w:kern w:val="0"/>
                <w:sz w:val="21"/>
                <w:szCs w:val="21"/>
                <w:lang w:bidi="ar"/>
              </w:rPr>
              <w:t>备注</w:t>
            </w:r>
          </w:p>
        </w:tc>
        <w:tc>
          <w:tcPr>
            <w:tcW w:w="152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bidi="ar"/>
              </w:rPr>
            </w:pPr>
            <w:r>
              <w:rPr>
                <w:rFonts w:hint="eastAsia" w:ascii="宋体" w:hAnsi="宋体" w:cs="宋体"/>
                <w:b/>
                <w:bCs/>
                <w:color w:val="auto"/>
                <w:kern w:val="0"/>
                <w:sz w:val="21"/>
                <w:szCs w:val="21"/>
                <w:lang w:val="en-US" w:eastAsia="zh-CN" w:bidi="ar"/>
              </w:rPr>
              <w:t>评估单价（元）</w:t>
            </w:r>
          </w:p>
        </w:tc>
        <w:tc>
          <w:tcPr>
            <w:tcW w:w="142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hd w:val="clear"/>
              <w:jc w:val="center"/>
              <w:textAlignment w:val="center"/>
              <w:rPr>
                <w:rFonts w:hint="eastAsia" w:ascii="宋体" w:hAnsi="宋体" w:cs="宋体"/>
                <w:b/>
                <w:bCs/>
                <w:color w:val="auto"/>
                <w:kern w:val="0"/>
                <w:sz w:val="21"/>
                <w:szCs w:val="21"/>
                <w:lang w:bidi="ar"/>
              </w:rPr>
            </w:pPr>
            <w:r>
              <w:rPr>
                <w:rFonts w:hint="eastAsia" w:ascii="宋体" w:hAnsi="宋体" w:cs="宋体"/>
                <w:b/>
                <w:bCs/>
                <w:color w:val="auto"/>
                <w:kern w:val="0"/>
                <w:sz w:val="21"/>
                <w:szCs w:val="21"/>
                <w:lang w:val="en-US" w:eastAsia="zh-CN" w:bidi="ar"/>
              </w:rPr>
              <w:t>评估总价（元）</w:t>
            </w:r>
          </w:p>
        </w:tc>
      </w:tr>
      <w:tr>
        <w:tblPrEx>
          <w:tblCellMar>
            <w:top w:w="0" w:type="dxa"/>
            <w:left w:w="108" w:type="dxa"/>
            <w:bottom w:w="0" w:type="dxa"/>
            <w:right w:w="108" w:type="dxa"/>
          </w:tblCellMar>
        </w:tblPrEx>
        <w:trPr>
          <w:trHeight w:val="685"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电动门</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8</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米</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高1.6m，位于西门，</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360</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2880</w:t>
            </w:r>
          </w:p>
        </w:tc>
      </w:tr>
      <w:tr>
        <w:tblPrEx>
          <w:tblCellMar>
            <w:top w:w="0" w:type="dxa"/>
            <w:left w:w="108" w:type="dxa"/>
            <w:bottom w:w="0" w:type="dxa"/>
            <w:right w:w="108" w:type="dxa"/>
          </w:tblCellMar>
        </w:tblPrEx>
        <w:trPr>
          <w:trHeight w:val="685"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电动门</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16</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米</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高1.6m，位于北门</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720</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11520</w:t>
            </w:r>
          </w:p>
        </w:tc>
      </w:tr>
      <w:tr>
        <w:tblPrEx>
          <w:tblCellMar>
            <w:top w:w="0" w:type="dxa"/>
            <w:left w:w="108" w:type="dxa"/>
            <w:bottom w:w="0" w:type="dxa"/>
            <w:right w:w="108" w:type="dxa"/>
          </w:tblCellMar>
        </w:tblPrEx>
        <w:trPr>
          <w:trHeight w:val="356"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3</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变压器</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台</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200千瓦</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15664</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15664</w:t>
            </w:r>
          </w:p>
        </w:tc>
      </w:tr>
      <w:tr>
        <w:tblPrEx>
          <w:tblCellMar>
            <w:top w:w="0" w:type="dxa"/>
            <w:left w:w="108" w:type="dxa"/>
            <w:bottom w:w="0" w:type="dxa"/>
            <w:right w:w="108" w:type="dxa"/>
          </w:tblCellMar>
        </w:tblPrEx>
        <w:trPr>
          <w:trHeight w:val="356"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4</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动力柜</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台</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XL-21</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1610</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3220</w:t>
            </w:r>
          </w:p>
        </w:tc>
      </w:tr>
      <w:tr>
        <w:tblPrEx>
          <w:tblCellMar>
            <w:top w:w="0" w:type="dxa"/>
            <w:left w:w="108" w:type="dxa"/>
            <w:bottom w:w="0" w:type="dxa"/>
            <w:right w:w="108" w:type="dxa"/>
          </w:tblCellMar>
        </w:tblPrEx>
        <w:trPr>
          <w:trHeight w:val="356"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5</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配电柜</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台</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default"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GGD</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1610</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1610</w:t>
            </w:r>
          </w:p>
        </w:tc>
      </w:tr>
      <w:tr>
        <w:tblPrEx>
          <w:tblCellMar>
            <w:top w:w="0" w:type="dxa"/>
            <w:left w:w="108" w:type="dxa"/>
            <w:bottom w:w="0" w:type="dxa"/>
            <w:right w:w="108" w:type="dxa"/>
          </w:tblCellMar>
        </w:tblPrEx>
        <w:trPr>
          <w:trHeight w:val="685"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6</w:t>
            </w: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广告铁架</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84</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平方米</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r>
              <w:rPr>
                <w:rFonts w:hint="eastAsia" w:cs="宋体" w:asciiTheme="minorEastAsia" w:hAnsiTheme="minorEastAsia" w:eastAsiaTheme="minorEastAsia"/>
                <w:color w:val="auto"/>
                <w:sz w:val="21"/>
                <w:szCs w:val="21"/>
                <w:lang w:val="en-US" w:eastAsia="zh-CN"/>
              </w:rPr>
              <w:t>网格状，高约3m，长28m</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54</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4536</w:t>
            </w:r>
          </w:p>
        </w:tc>
      </w:tr>
      <w:tr>
        <w:tblPrEx>
          <w:tblCellMar>
            <w:top w:w="0" w:type="dxa"/>
            <w:left w:w="108" w:type="dxa"/>
            <w:bottom w:w="0" w:type="dxa"/>
            <w:right w:w="108" w:type="dxa"/>
          </w:tblCellMar>
        </w:tblPrEx>
        <w:trPr>
          <w:trHeight w:val="398" w:hRule="atLeast"/>
          <w:jc w:val="center"/>
        </w:trPr>
        <w:tc>
          <w:tcPr>
            <w:tcW w:w="9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hd w:val="clear"/>
              <w:spacing w:line="400" w:lineRule="exact"/>
              <w:jc w:val="center"/>
              <w:textAlignment w:val="center"/>
              <w:rPr>
                <w:rFonts w:hint="eastAsia" w:cs="宋体" w:asciiTheme="minorEastAsia" w:hAnsiTheme="minorEastAsia" w:eastAsiaTheme="minorEastAsia"/>
                <w:color w:val="auto"/>
                <w:sz w:val="21"/>
                <w:szCs w:val="21"/>
                <w:lang w:val="en-US" w:eastAsia="zh-CN"/>
              </w:rPr>
            </w:pP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cs="宋体" w:asciiTheme="minorEastAsia" w:hAnsiTheme="minorEastAsia" w:eastAsiaTheme="minorEastAsia"/>
                <w:color w:val="auto"/>
                <w:sz w:val="21"/>
                <w:szCs w:val="21"/>
                <w:lang w:val="en-US" w:eastAsia="zh-CN"/>
              </w:rPr>
            </w:pP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sz w:val="21"/>
                <w:szCs w:val="21"/>
                <w:lang w:val="en-US" w:eastAsia="zh-CN"/>
              </w:rPr>
            </w:pPr>
            <w:r>
              <w:rPr>
                <w:rFonts w:hint="eastAsia" w:ascii="宋体" w:hAnsi="宋体" w:eastAsia="宋体" w:cs="宋体"/>
                <w:i w:val="0"/>
                <w:iCs w:val="0"/>
                <w:color w:val="000000"/>
                <w:spacing w:val="10"/>
                <w:kern w:val="0"/>
                <w:sz w:val="21"/>
                <w:szCs w:val="21"/>
                <w:u w:val="none"/>
                <w:lang w:val="en-US" w:eastAsia="zh-CN" w:bidi="ar"/>
              </w:rPr>
              <w:t>39430</w:t>
            </w:r>
          </w:p>
        </w:tc>
      </w:tr>
    </w:tbl>
    <w:p>
      <w:pPr>
        <w:widowControl/>
        <w:shd w:val="clear"/>
        <w:spacing w:line="520" w:lineRule="exact"/>
        <w:jc w:val="left"/>
        <w:rPr>
          <w:rFonts w:asciiTheme="minorEastAsia" w:hAnsiTheme="minorEastAsia" w:eastAsiaTheme="minorEastAsia"/>
          <w:b/>
          <w:color w:val="auto"/>
          <w:spacing w:val="0"/>
          <w:szCs w:val="22"/>
        </w:rPr>
      </w:pPr>
      <w:r>
        <w:rPr>
          <w:rFonts w:hint="eastAsia" w:asciiTheme="minorEastAsia" w:hAnsiTheme="minorEastAsia" w:eastAsiaTheme="minorEastAsia"/>
          <w:b/>
          <w:color w:val="auto"/>
          <w:spacing w:val="0"/>
          <w:szCs w:val="22"/>
        </w:rPr>
        <w:t>十一、注册房地产估价师</w:t>
      </w:r>
    </w:p>
    <w:tbl>
      <w:tblPr>
        <w:tblStyle w:val="18"/>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1"/>
        <w:gridCol w:w="3107"/>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3041" w:type="dxa"/>
            <w:vAlign w:val="center"/>
          </w:tcPr>
          <w:p>
            <w:pPr>
              <w:shd w:val="clear"/>
              <w:spacing w:line="520" w:lineRule="exact"/>
              <w:jc w:val="center"/>
              <w:outlineLvl w:val="0"/>
              <w:rPr>
                <w:rFonts w:asciiTheme="minorEastAsia" w:hAnsiTheme="minorEastAsia" w:eastAsiaTheme="minorEastAsia"/>
                <w:color w:val="auto"/>
              </w:rPr>
            </w:pPr>
            <w:r>
              <w:rPr>
                <w:rFonts w:hint="eastAsia" w:asciiTheme="minorEastAsia" w:hAnsiTheme="minorEastAsia" w:eastAsiaTheme="minorEastAsia"/>
                <w:color w:val="auto"/>
              </w:rPr>
              <w:t>估价师姓名</w:t>
            </w:r>
          </w:p>
        </w:tc>
        <w:tc>
          <w:tcPr>
            <w:tcW w:w="3107" w:type="dxa"/>
            <w:vAlign w:val="center"/>
          </w:tcPr>
          <w:p>
            <w:pPr>
              <w:shd w:val="clear"/>
              <w:spacing w:line="520" w:lineRule="exact"/>
              <w:jc w:val="center"/>
              <w:outlineLvl w:val="0"/>
              <w:rPr>
                <w:rFonts w:asciiTheme="minorEastAsia" w:hAnsiTheme="minorEastAsia" w:eastAsiaTheme="minorEastAsia"/>
                <w:color w:val="auto"/>
              </w:rPr>
            </w:pPr>
            <w:r>
              <w:rPr>
                <w:rFonts w:hint="eastAsia" w:asciiTheme="minorEastAsia" w:hAnsiTheme="minorEastAsia" w:eastAsiaTheme="minorEastAsia"/>
                <w:color w:val="auto"/>
                <w:spacing w:val="0"/>
              </w:rPr>
              <w:t>房地产</w:t>
            </w:r>
            <w:r>
              <w:rPr>
                <w:rFonts w:hint="eastAsia" w:asciiTheme="minorEastAsia" w:hAnsiTheme="minorEastAsia" w:eastAsiaTheme="minorEastAsia"/>
                <w:color w:val="auto"/>
              </w:rPr>
              <w:t>估价师注册号</w:t>
            </w:r>
          </w:p>
        </w:tc>
        <w:tc>
          <w:tcPr>
            <w:tcW w:w="2803" w:type="dxa"/>
            <w:vAlign w:val="center"/>
          </w:tcPr>
          <w:p>
            <w:pPr>
              <w:shd w:val="clear"/>
              <w:spacing w:line="520" w:lineRule="exact"/>
              <w:jc w:val="center"/>
              <w:outlineLvl w:val="0"/>
              <w:rPr>
                <w:rFonts w:asciiTheme="minorEastAsia" w:hAnsiTheme="minorEastAsia" w:eastAsiaTheme="minorEastAsia"/>
                <w:color w:val="auto"/>
              </w:rPr>
            </w:pPr>
            <w:r>
              <w:rPr>
                <w:rFonts w:hint="eastAsia" w:asciiTheme="minorEastAsia" w:hAnsiTheme="minorEastAsia" w:eastAsiaTheme="minorEastAsia"/>
                <w:color w:val="auto"/>
              </w:rPr>
              <w:t>估价师签字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3041" w:type="dxa"/>
            <w:vAlign w:val="center"/>
          </w:tcPr>
          <w:p>
            <w:pPr>
              <w:shd w:val="clear"/>
              <w:spacing w:line="520" w:lineRule="exact"/>
              <w:jc w:val="center"/>
              <w:outlineLvl w:val="0"/>
              <w:rPr>
                <w:rFonts w:hint="eastAsia" w:asciiTheme="minorEastAsia" w:hAnsiTheme="minorEastAsia" w:eastAsiaTheme="minorEastAsia"/>
                <w:color w:val="auto"/>
                <w:lang w:eastAsia="zh-CN"/>
              </w:rPr>
            </w:pPr>
            <w:r>
              <w:rPr>
                <w:rFonts w:hint="eastAsia" w:asciiTheme="minorEastAsia" w:hAnsiTheme="minorEastAsia" w:eastAsiaTheme="minorEastAsia"/>
                <w:color w:val="auto"/>
                <w:lang w:eastAsia="zh-CN"/>
              </w:rPr>
              <w:t>程</w:t>
            </w:r>
            <w:r>
              <w:rPr>
                <w:rFonts w:hint="eastAsia" w:asciiTheme="minorEastAsia" w:hAnsiTheme="minorEastAsia" w:eastAsiaTheme="minorEastAsia"/>
                <w:color w:val="auto"/>
                <w:lang w:val="en-US" w:eastAsia="zh-CN"/>
              </w:rPr>
              <w:t xml:space="preserve">  </w:t>
            </w:r>
            <w:r>
              <w:rPr>
                <w:rFonts w:hint="eastAsia" w:asciiTheme="minorEastAsia" w:hAnsiTheme="minorEastAsia" w:eastAsiaTheme="minorEastAsia"/>
                <w:color w:val="auto"/>
                <w:lang w:eastAsia="zh-CN"/>
              </w:rPr>
              <w:t>磊</w:t>
            </w:r>
          </w:p>
        </w:tc>
        <w:tc>
          <w:tcPr>
            <w:tcW w:w="3107" w:type="dxa"/>
            <w:vAlign w:val="center"/>
          </w:tcPr>
          <w:p>
            <w:pPr>
              <w:shd w:val="clear"/>
              <w:spacing w:line="520" w:lineRule="exact"/>
              <w:jc w:val="center"/>
              <w:outlineLvl w:val="0"/>
              <w:rPr>
                <w:rFonts w:hint="eastAsia" w:asciiTheme="minorEastAsia" w:hAnsiTheme="minorEastAsia" w:eastAsiaTheme="minorEastAsia"/>
                <w:color w:val="auto"/>
                <w:lang w:eastAsia="zh-CN"/>
              </w:rPr>
            </w:pPr>
            <w:r>
              <w:rPr>
                <w:rFonts w:hint="eastAsia" w:asciiTheme="minorEastAsia" w:hAnsiTheme="minorEastAsia" w:eastAsiaTheme="minorEastAsia"/>
                <w:color w:val="auto"/>
                <w:lang w:eastAsia="zh-CN"/>
              </w:rPr>
              <w:t>3420180024</w:t>
            </w:r>
          </w:p>
        </w:tc>
        <w:tc>
          <w:tcPr>
            <w:tcW w:w="2803" w:type="dxa"/>
            <w:vAlign w:val="center"/>
          </w:tcPr>
          <w:p>
            <w:pPr>
              <w:shd w:val="clear"/>
              <w:spacing w:line="520" w:lineRule="exact"/>
              <w:jc w:val="center"/>
              <w:outlineLvl w:val="0"/>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041" w:type="dxa"/>
            <w:vAlign w:val="center"/>
          </w:tcPr>
          <w:p>
            <w:pPr>
              <w:shd w:val="clear"/>
              <w:spacing w:line="520" w:lineRule="exact"/>
              <w:jc w:val="center"/>
              <w:outlineLvl w:val="0"/>
              <w:rPr>
                <w:rFonts w:asciiTheme="minorEastAsia" w:hAnsiTheme="minorEastAsia" w:eastAsiaTheme="minorEastAsia"/>
                <w:color w:val="auto"/>
              </w:rPr>
            </w:pPr>
            <w:r>
              <w:rPr>
                <w:rFonts w:hint="eastAsia" w:asciiTheme="minorEastAsia" w:hAnsiTheme="minorEastAsia" w:eastAsiaTheme="minorEastAsia"/>
                <w:color w:val="auto"/>
              </w:rPr>
              <w:t>侯金刚</w:t>
            </w:r>
          </w:p>
        </w:tc>
        <w:tc>
          <w:tcPr>
            <w:tcW w:w="3107" w:type="dxa"/>
            <w:vAlign w:val="center"/>
          </w:tcPr>
          <w:p>
            <w:pPr>
              <w:shd w:val="clear"/>
              <w:spacing w:line="520" w:lineRule="exact"/>
              <w:jc w:val="center"/>
              <w:outlineLvl w:val="0"/>
              <w:rPr>
                <w:rFonts w:asciiTheme="minorEastAsia" w:hAnsiTheme="minorEastAsia" w:eastAsiaTheme="minorEastAsia"/>
                <w:color w:val="auto"/>
              </w:rPr>
            </w:pPr>
            <w:r>
              <w:rPr>
                <w:rFonts w:hint="eastAsia" w:asciiTheme="minorEastAsia" w:hAnsiTheme="minorEastAsia" w:eastAsiaTheme="minorEastAsia"/>
                <w:color w:val="auto"/>
              </w:rPr>
              <w:t>3420200062</w:t>
            </w:r>
          </w:p>
        </w:tc>
        <w:tc>
          <w:tcPr>
            <w:tcW w:w="2803" w:type="dxa"/>
            <w:vAlign w:val="center"/>
          </w:tcPr>
          <w:p>
            <w:pPr>
              <w:shd w:val="clear"/>
              <w:spacing w:line="520" w:lineRule="exact"/>
              <w:jc w:val="center"/>
              <w:outlineLvl w:val="0"/>
              <w:rPr>
                <w:rFonts w:asciiTheme="minorEastAsia" w:hAnsiTheme="minorEastAsia" w:eastAsiaTheme="minorEastAsia"/>
                <w:color w:val="auto"/>
              </w:rPr>
            </w:pPr>
          </w:p>
        </w:tc>
      </w:tr>
    </w:tbl>
    <w:p>
      <w:pPr>
        <w:widowControl/>
        <w:shd w:val="clear"/>
        <w:spacing w:line="520" w:lineRule="exact"/>
        <w:jc w:val="left"/>
        <w:rPr>
          <w:rFonts w:asciiTheme="minorEastAsia" w:hAnsiTheme="minorEastAsia" w:eastAsiaTheme="minorEastAsia"/>
          <w:b/>
          <w:color w:val="auto"/>
          <w:spacing w:val="0"/>
        </w:rPr>
      </w:pPr>
      <w:r>
        <w:rPr>
          <w:rFonts w:asciiTheme="minorEastAsia" w:hAnsiTheme="minorEastAsia" w:eastAsiaTheme="minorEastAsia"/>
          <w:b/>
          <w:color w:val="auto"/>
          <w:spacing w:val="0"/>
        </w:rPr>
        <w:t xml:space="preserve">十二、实地查勘期 </w:t>
      </w:r>
    </w:p>
    <w:p>
      <w:pPr>
        <w:pStyle w:val="10"/>
        <w:shd w:val="clear"/>
        <w:spacing w:line="520" w:lineRule="exact"/>
        <w:ind w:firstLine="472" w:firstLineChars="200"/>
        <w:rPr>
          <w:rFonts w:hint="eastAsia" w:asciiTheme="minorEastAsia" w:hAnsiTheme="minorEastAsia" w:eastAsiaTheme="minorEastAsia"/>
          <w:color w:val="auto"/>
          <w:sz w:val="24"/>
        </w:rPr>
      </w:pPr>
      <w:r>
        <w:rPr>
          <w:rFonts w:hint="eastAsia" w:asciiTheme="minorEastAsia" w:hAnsiTheme="minorEastAsia" w:eastAsiaTheme="minorEastAsia"/>
          <w:b w:val="0"/>
          <w:color w:val="auto"/>
          <w:spacing w:val="-2"/>
          <w:sz w:val="24"/>
          <w:lang w:eastAsia="zh-CN"/>
        </w:rPr>
        <w:t>二Ｏ二三年九月十三日</w:t>
      </w:r>
    </w:p>
    <w:p>
      <w:pPr>
        <w:pStyle w:val="10"/>
        <w:shd w:val="clear"/>
        <w:spacing w:line="52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十三、估价作业期</w:t>
      </w:r>
    </w:p>
    <w:p>
      <w:pPr>
        <w:shd w:val="clear"/>
        <w:spacing w:line="520" w:lineRule="exact"/>
        <w:ind w:firstLine="472" w:firstLineChars="200"/>
        <w:rPr>
          <w:rFonts w:hint="eastAsia" w:asciiTheme="minorEastAsia" w:hAnsiTheme="minorEastAsia" w:eastAsiaTheme="minorEastAsia"/>
          <w:color w:val="auto"/>
          <w:sz w:val="24"/>
        </w:rPr>
      </w:pPr>
      <w:r>
        <w:rPr>
          <w:rFonts w:hint="eastAsia" w:asciiTheme="minorEastAsia" w:hAnsiTheme="minorEastAsia" w:eastAsiaTheme="minorEastAsia"/>
          <w:color w:val="auto"/>
          <w:spacing w:val="-2"/>
          <w:lang w:eastAsia="zh-CN"/>
        </w:rPr>
        <w:t>2023年09月13日</w:t>
      </w:r>
      <w:r>
        <w:rPr>
          <w:rFonts w:hint="eastAsia" w:asciiTheme="minorEastAsia" w:hAnsiTheme="minorEastAsia" w:eastAsiaTheme="minorEastAsia"/>
          <w:color w:val="auto"/>
          <w:spacing w:val="-2"/>
        </w:rPr>
        <w:t>至</w:t>
      </w:r>
      <w:r>
        <w:rPr>
          <w:rFonts w:hint="eastAsia" w:asciiTheme="minorEastAsia" w:hAnsiTheme="minorEastAsia" w:eastAsiaTheme="minorEastAsia"/>
          <w:color w:val="auto"/>
          <w:spacing w:val="-2"/>
          <w:lang w:eastAsia="zh-CN"/>
        </w:rPr>
        <w:t>2023年10月12日</w:t>
      </w:r>
    </w:p>
    <w:p>
      <w:pPr>
        <w:pStyle w:val="10"/>
        <w:shd w:val="clear"/>
        <w:spacing w:line="52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十四、估价报告有效期</w:t>
      </w:r>
    </w:p>
    <w:p>
      <w:pPr>
        <w:pStyle w:val="10"/>
        <w:shd w:val="clear"/>
        <w:spacing w:line="520" w:lineRule="exact"/>
        <w:ind w:firstLine="472" w:firstLineChars="200"/>
        <w:rPr>
          <w:rFonts w:asciiTheme="minorEastAsia" w:hAnsiTheme="minorEastAsia" w:eastAsiaTheme="minorEastAsia"/>
          <w:b w:val="0"/>
          <w:color w:val="auto"/>
          <w:spacing w:val="-2"/>
          <w:sz w:val="24"/>
          <w:szCs w:val="24"/>
        </w:rPr>
      </w:pPr>
      <w:r>
        <w:rPr>
          <w:rFonts w:hint="eastAsia" w:asciiTheme="minorEastAsia" w:hAnsiTheme="minorEastAsia" w:eastAsiaTheme="minorEastAsia"/>
          <w:b w:val="0"/>
          <w:color w:val="auto"/>
          <w:spacing w:val="-2"/>
          <w:sz w:val="24"/>
          <w:szCs w:val="24"/>
        </w:rPr>
        <w:t>估价报告的有效期限为</w:t>
      </w:r>
      <w:r>
        <w:rPr>
          <w:rFonts w:hint="eastAsia" w:asciiTheme="minorEastAsia" w:hAnsiTheme="minorEastAsia" w:eastAsiaTheme="minorEastAsia"/>
          <w:b w:val="0"/>
          <w:color w:val="auto"/>
          <w:spacing w:val="-2"/>
          <w:sz w:val="24"/>
          <w:szCs w:val="24"/>
          <w:lang w:eastAsia="zh-CN"/>
        </w:rPr>
        <w:t>二○二三年十月十二日</w:t>
      </w:r>
      <w:r>
        <w:rPr>
          <w:rFonts w:hint="eastAsia" w:asciiTheme="minorEastAsia" w:hAnsiTheme="minorEastAsia" w:eastAsiaTheme="minorEastAsia"/>
          <w:b w:val="0"/>
          <w:color w:val="auto"/>
          <w:spacing w:val="-2"/>
          <w:sz w:val="24"/>
          <w:szCs w:val="24"/>
        </w:rPr>
        <w:t>至</w:t>
      </w:r>
      <w:r>
        <w:rPr>
          <w:rFonts w:hint="eastAsia" w:asciiTheme="minorEastAsia" w:hAnsiTheme="minorEastAsia" w:eastAsiaTheme="minorEastAsia"/>
          <w:b w:val="0"/>
          <w:color w:val="auto"/>
          <w:spacing w:val="-2"/>
          <w:sz w:val="24"/>
          <w:szCs w:val="24"/>
          <w:lang w:eastAsia="zh-CN"/>
        </w:rPr>
        <w:t>二○二四年十月十一日</w:t>
      </w:r>
      <w:r>
        <w:rPr>
          <w:rFonts w:hint="eastAsia" w:asciiTheme="minorEastAsia" w:hAnsiTheme="minorEastAsia" w:eastAsiaTheme="minorEastAsia"/>
          <w:b w:val="0"/>
          <w:color w:val="auto"/>
          <w:spacing w:val="-2"/>
          <w:sz w:val="24"/>
          <w:szCs w:val="24"/>
        </w:rPr>
        <w:t>止。</w:t>
      </w:r>
    </w:p>
    <w:p>
      <w:pPr>
        <w:pStyle w:val="10"/>
        <w:shd w:val="clear"/>
        <w:spacing w:line="520" w:lineRule="exact"/>
        <w:rPr>
          <w:rFonts w:asciiTheme="minorEastAsia" w:hAnsiTheme="minorEastAsia" w:eastAsiaTheme="minorEastAsia"/>
          <w:color w:val="auto"/>
          <w:spacing w:val="-2"/>
          <w:sz w:val="24"/>
          <w:szCs w:val="24"/>
        </w:rPr>
      </w:pPr>
      <w:bookmarkStart w:id="8" w:name="_Toc239751030"/>
      <w:r>
        <w:rPr>
          <w:rFonts w:hint="eastAsia" w:asciiTheme="minorEastAsia" w:hAnsiTheme="minorEastAsia" w:eastAsiaTheme="minorEastAsia"/>
          <w:color w:val="auto"/>
          <w:spacing w:val="-2"/>
          <w:sz w:val="24"/>
          <w:szCs w:val="24"/>
        </w:rPr>
        <w:t>十五、其他需要说明的事项</w:t>
      </w:r>
      <w:bookmarkEnd w:id="8"/>
    </w:p>
    <w:p>
      <w:pPr>
        <w:pStyle w:val="10"/>
        <w:keepNext w:val="0"/>
        <w:keepLines w:val="0"/>
        <w:pageBreakBefore w:val="0"/>
        <w:widowControl w:val="0"/>
        <w:shd w:val="clear"/>
        <w:kinsoku/>
        <w:wordWrap/>
        <w:overflowPunct/>
        <w:topLinePunct w:val="0"/>
        <w:autoSpaceDE/>
        <w:autoSpaceDN/>
        <w:bidi w:val="0"/>
        <w:adjustRightInd/>
        <w:snapToGrid/>
        <w:spacing w:line="520" w:lineRule="exact"/>
        <w:ind w:firstLine="472" w:firstLineChars="200"/>
        <w:textAlignment w:val="auto"/>
        <w:rPr>
          <w:color w:val="auto"/>
        </w:rPr>
      </w:pPr>
      <w:r>
        <w:rPr>
          <w:rFonts w:hint="eastAsia" w:ascii="宋体" w:hAnsi="宋体"/>
          <w:b w:val="0"/>
          <w:color w:val="auto"/>
          <w:spacing w:val="-2"/>
          <w:sz w:val="24"/>
          <w:szCs w:val="24"/>
        </w:rPr>
        <w:t>1.估价结果是估价人员模拟市场形成价格的机制和过程，将估价对象客观存在的价格或价值揭示、显现出来。估价结果不应当被认为是对估价对象可实现价格的保证。</w:t>
      </w:r>
    </w:p>
    <w:p>
      <w:pPr>
        <w:pStyle w:val="10"/>
        <w:keepNext w:val="0"/>
        <w:keepLines w:val="0"/>
        <w:pageBreakBefore w:val="0"/>
        <w:widowControl w:val="0"/>
        <w:shd w:val="clear"/>
        <w:kinsoku/>
        <w:wordWrap/>
        <w:overflowPunct/>
        <w:topLinePunct w:val="0"/>
        <w:autoSpaceDE/>
        <w:autoSpaceDN/>
        <w:bidi w:val="0"/>
        <w:adjustRightInd/>
        <w:snapToGrid/>
        <w:spacing w:line="520" w:lineRule="exact"/>
        <w:ind w:firstLine="472" w:firstLineChars="200"/>
        <w:textAlignment w:val="auto"/>
        <w:rPr>
          <w:rFonts w:ascii="宋体" w:hAnsi="宋体"/>
          <w:b w:val="0"/>
          <w:color w:val="auto"/>
          <w:spacing w:val="-2"/>
          <w:sz w:val="24"/>
          <w:szCs w:val="24"/>
        </w:rPr>
      </w:pPr>
      <w:r>
        <w:rPr>
          <w:rFonts w:hint="eastAsia" w:ascii="宋体" w:hAnsi="宋体"/>
          <w:b w:val="0"/>
          <w:color w:val="auto"/>
          <w:spacing w:val="-2"/>
          <w:sz w:val="24"/>
          <w:szCs w:val="24"/>
        </w:rPr>
        <w:t>2.本估价结果仅供委托人</w:t>
      </w:r>
      <w:r>
        <w:rPr>
          <w:rFonts w:hint="eastAsia" w:ascii="宋体" w:hAnsi="宋体"/>
          <w:b w:val="0"/>
          <w:color w:val="auto"/>
          <w:spacing w:val="-2"/>
          <w:sz w:val="24"/>
          <w:szCs w:val="24"/>
          <w:lang w:eastAsia="zh-CN"/>
        </w:rPr>
        <w:t>六安市金安区人民法院</w:t>
      </w:r>
      <w:r>
        <w:rPr>
          <w:rFonts w:hint="eastAsia" w:ascii="宋体" w:hAnsi="宋体"/>
          <w:b w:val="0"/>
          <w:color w:val="auto"/>
          <w:spacing w:val="-2"/>
          <w:sz w:val="24"/>
          <w:szCs w:val="24"/>
        </w:rPr>
        <w:t>确定财产处置参考价服务，最终市场价值额的确定须当事双方根据公开市场价值发生时估价对象的权利状况、实体状况、该类房地产的市场状况等因素综合确定。</w:t>
      </w:r>
    </w:p>
    <w:p>
      <w:pPr>
        <w:pStyle w:val="10"/>
        <w:keepNext w:val="0"/>
        <w:keepLines w:val="0"/>
        <w:pageBreakBefore w:val="0"/>
        <w:widowControl w:val="0"/>
        <w:shd w:val="clear"/>
        <w:kinsoku/>
        <w:wordWrap/>
        <w:overflowPunct/>
        <w:topLinePunct w:val="0"/>
        <w:autoSpaceDE/>
        <w:autoSpaceDN/>
        <w:bidi w:val="0"/>
        <w:adjustRightInd/>
        <w:snapToGrid/>
        <w:spacing w:line="520" w:lineRule="exact"/>
        <w:ind w:firstLine="462" w:firstLineChars="196"/>
        <w:textAlignment w:val="auto"/>
        <w:rPr>
          <w:rFonts w:ascii="宋体" w:hAnsi="宋体"/>
          <w:b w:val="0"/>
          <w:color w:val="auto"/>
          <w:spacing w:val="-2"/>
          <w:sz w:val="24"/>
          <w:szCs w:val="24"/>
        </w:rPr>
      </w:pPr>
      <w:r>
        <w:rPr>
          <w:rFonts w:hint="eastAsia" w:ascii="宋体" w:hAnsi="宋体"/>
          <w:b w:val="0"/>
          <w:color w:val="auto"/>
          <w:spacing w:val="-2"/>
          <w:sz w:val="24"/>
          <w:szCs w:val="24"/>
        </w:rPr>
        <w:t>3.</w:t>
      </w:r>
      <w:r>
        <w:rPr>
          <w:rFonts w:hint="eastAsia" w:ascii="宋体" w:hAnsi="宋体"/>
          <w:b w:val="0"/>
          <w:color w:val="auto"/>
          <w:sz w:val="24"/>
          <w:szCs w:val="24"/>
        </w:rPr>
        <w:t xml:space="preserve"> 关于估价对象权属证件的合法性、有效性，登记机关在办理转让时予以确认，权属有瑕疵的依法不能办理相关手续，我们提请报告使用人关注这一点。</w:t>
      </w:r>
    </w:p>
    <w:p>
      <w:pPr>
        <w:pStyle w:val="10"/>
        <w:keepNext w:val="0"/>
        <w:keepLines w:val="0"/>
        <w:pageBreakBefore w:val="0"/>
        <w:widowControl w:val="0"/>
        <w:shd w:val="clear"/>
        <w:kinsoku/>
        <w:wordWrap/>
        <w:overflowPunct/>
        <w:topLinePunct w:val="0"/>
        <w:autoSpaceDE/>
        <w:autoSpaceDN/>
        <w:bidi w:val="0"/>
        <w:adjustRightInd/>
        <w:snapToGrid/>
        <w:spacing w:line="520" w:lineRule="exact"/>
        <w:ind w:firstLine="462" w:firstLineChars="196"/>
        <w:textAlignment w:val="auto"/>
        <w:rPr>
          <w:rFonts w:ascii="宋体" w:hAnsi="宋体"/>
          <w:b w:val="0"/>
          <w:color w:val="auto"/>
          <w:spacing w:val="-2"/>
          <w:sz w:val="24"/>
          <w:szCs w:val="24"/>
        </w:rPr>
      </w:pPr>
      <w:r>
        <w:rPr>
          <w:rFonts w:hint="eastAsia" w:ascii="宋体" w:hAnsi="宋体"/>
          <w:b w:val="0"/>
          <w:color w:val="auto"/>
          <w:spacing w:val="-2"/>
          <w:sz w:val="24"/>
          <w:szCs w:val="24"/>
        </w:rPr>
        <w:t>4.本估价报告正本</w:t>
      </w:r>
      <w:r>
        <w:rPr>
          <w:rFonts w:hint="eastAsia" w:ascii="宋体" w:hAnsi="宋体"/>
          <w:b w:val="0"/>
          <w:color w:val="auto"/>
          <w:spacing w:val="-2"/>
          <w:sz w:val="24"/>
          <w:szCs w:val="24"/>
          <w:lang w:eastAsia="zh-CN"/>
        </w:rPr>
        <w:t>一式肆份</w:t>
      </w:r>
      <w:r>
        <w:rPr>
          <w:rFonts w:hint="eastAsia" w:ascii="宋体" w:hAnsi="宋体"/>
          <w:b w:val="0"/>
          <w:color w:val="auto"/>
          <w:spacing w:val="-2"/>
          <w:sz w:val="24"/>
          <w:szCs w:val="24"/>
        </w:rPr>
        <w:t>，除此之外的任何形式的非正本均无使用效力。</w:t>
      </w:r>
    </w:p>
    <w:p>
      <w:pPr>
        <w:widowControl/>
        <w:shd w:val="clear"/>
        <w:jc w:val="left"/>
        <w:rPr>
          <w:color w:val="auto"/>
        </w:rPr>
      </w:pPr>
    </w:p>
    <w:p>
      <w:pPr>
        <w:shd w:val="clear"/>
        <w:spacing w:line="520" w:lineRule="exact"/>
        <w:jc w:val="center"/>
        <w:rPr>
          <w:rFonts w:hint="eastAsia" w:asciiTheme="minorEastAsia" w:hAnsiTheme="minorEastAsia" w:eastAsiaTheme="minorEastAsia"/>
          <w:b/>
          <w:color w:val="auto"/>
          <w:sz w:val="36"/>
        </w:rPr>
      </w:pPr>
      <w:bookmarkStart w:id="9" w:name="_Toc154888138"/>
      <w:bookmarkStart w:id="10" w:name="_Toc117000440"/>
      <w:bookmarkStart w:id="11" w:name="_Toc153244912"/>
      <w:bookmarkStart w:id="12" w:name="_Toc239751031"/>
    </w:p>
    <w:p>
      <w:pPr>
        <w:shd w:val="clear"/>
        <w:spacing w:line="520" w:lineRule="exact"/>
        <w:jc w:val="center"/>
        <w:rPr>
          <w:rFonts w:hint="eastAsia" w:asciiTheme="minorEastAsia" w:hAnsiTheme="minorEastAsia" w:eastAsiaTheme="minorEastAsia"/>
          <w:b/>
          <w:color w:val="auto"/>
          <w:sz w:val="36"/>
        </w:rPr>
      </w:pPr>
    </w:p>
    <w:p>
      <w:pPr>
        <w:shd w:val="clear"/>
        <w:spacing w:line="520" w:lineRule="exact"/>
        <w:jc w:val="center"/>
        <w:rPr>
          <w:rFonts w:hint="eastAsia" w:asciiTheme="minorEastAsia" w:hAnsiTheme="minorEastAsia" w:eastAsiaTheme="minorEastAsia"/>
          <w:b/>
          <w:color w:val="auto"/>
          <w:sz w:val="36"/>
        </w:rPr>
      </w:pPr>
    </w:p>
    <w:p>
      <w:pPr>
        <w:shd w:val="clear"/>
        <w:spacing w:line="520" w:lineRule="exact"/>
        <w:jc w:val="center"/>
        <w:rPr>
          <w:rFonts w:hint="eastAsia" w:asciiTheme="minorEastAsia" w:hAnsiTheme="minorEastAsia" w:eastAsiaTheme="minorEastAsia"/>
          <w:b/>
          <w:color w:val="auto"/>
          <w:sz w:val="36"/>
        </w:rPr>
      </w:pPr>
    </w:p>
    <w:bookmarkEnd w:id="9"/>
    <w:bookmarkEnd w:id="10"/>
    <w:bookmarkEnd w:id="11"/>
    <w:bookmarkEnd w:id="12"/>
    <w:p>
      <w:pPr>
        <w:widowControl/>
        <w:shd w:val="clear"/>
        <w:jc w:val="left"/>
        <w:rPr>
          <w:rFonts w:hint="eastAsia" w:asciiTheme="minorEastAsia" w:hAnsiTheme="minorEastAsia" w:eastAsiaTheme="minorEastAsia"/>
          <w:color w:val="auto"/>
          <w:sz w:val="36"/>
        </w:rPr>
      </w:pPr>
    </w:p>
    <w:p>
      <w:pPr>
        <w:widowControl/>
        <w:shd w:val="clear"/>
        <w:ind w:firstLine="3420" w:firstLineChars="900"/>
        <w:jc w:val="left"/>
        <w:rPr>
          <w:rFonts w:asciiTheme="minorEastAsia" w:hAnsiTheme="minorEastAsia" w:eastAsiaTheme="minorEastAsia"/>
          <w:color w:val="auto"/>
          <w:sz w:val="36"/>
        </w:rPr>
      </w:pPr>
      <w:r>
        <w:rPr>
          <w:rFonts w:hint="eastAsia" w:asciiTheme="minorEastAsia" w:hAnsiTheme="minorEastAsia" w:eastAsiaTheme="minorEastAsia"/>
          <w:color w:val="auto"/>
          <w:sz w:val="36"/>
        </w:rPr>
        <w:t>附  件</w:t>
      </w:r>
    </w:p>
    <w:p>
      <w:pPr>
        <w:shd w:val="clear"/>
        <w:jc w:val="center"/>
        <w:rPr>
          <w:rFonts w:asciiTheme="minorEastAsia" w:hAnsiTheme="minorEastAsia" w:eastAsiaTheme="minorEastAsia"/>
          <w:color w:val="auto"/>
        </w:rPr>
      </w:pPr>
    </w:p>
    <w:p>
      <w:pPr>
        <w:shd w:val="clear"/>
        <w:spacing w:line="520" w:lineRule="exact"/>
        <w:ind w:firstLine="480" w:firstLineChars="200"/>
        <w:rPr>
          <w:rFonts w:hint="eastAsia" w:asciiTheme="minorEastAsia" w:hAnsiTheme="minorEastAsia" w:eastAsiaTheme="minorEastAsia"/>
          <w:color w:val="auto"/>
          <w:spacing w:val="0"/>
          <w:szCs w:val="24"/>
          <w:lang w:eastAsia="zh-CN"/>
        </w:rPr>
      </w:pPr>
      <w:r>
        <w:rPr>
          <w:rFonts w:hint="eastAsia" w:asciiTheme="minorEastAsia" w:hAnsiTheme="minorEastAsia" w:eastAsiaTheme="minorEastAsia"/>
          <w:color w:val="auto"/>
          <w:spacing w:val="0"/>
          <w:szCs w:val="24"/>
          <w:lang w:eastAsia="zh-CN"/>
        </w:rPr>
        <w:t>一、估价对象位置图</w:t>
      </w:r>
    </w:p>
    <w:p>
      <w:pPr>
        <w:shd w:val="clear"/>
        <w:spacing w:line="520" w:lineRule="exact"/>
        <w:ind w:firstLine="480" w:firstLineChars="200"/>
        <w:rPr>
          <w:rFonts w:hint="eastAsia" w:asciiTheme="minorEastAsia" w:hAnsiTheme="minorEastAsia" w:eastAsiaTheme="minorEastAsia"/>
          <w:color w:val="auto"/>
          <w:spacing w:val="0"/>
          <w:szCs w:val="24"/>
          <w:lang w:eastAsia="zh-CN"/>
        </w:rPr>
      </w:pPr>
      <w:r>
        <w:rPr>
          <w:rFonts w:hint="eastAsia" w:asciiTheme="minorEastAsia" w:hAnsiTheme="minorEastAsia" w:eastAsiaTheme="minorEastAsia"/>
          <w:color w:val="auto"/>
          <w:spacing w:val="0"/>
          <w:szCs w:val="24"/>
          <w:lang w:eastAsia="zh-CN"/>
        </w:rPr>
        <w:t>二、估价对象委托书复印件</w:t>
      </w:r>
    </w:p>
    <w:p>
      <w:pPr>
        <w:shd w:val="clear"/>
        <w:spacing w:line="520" w:lineRule="exact"/>
        <w:ind w:firstLine="480" w:firstLineChars="200"/>
        <w:rPr>
          <w:rFonts w:hint="eastAsia" w:asciiTheme="minorEastAsia" w:hAnsiTheme="minorEastAsia" w:eastAsiaTheme="minorEastAsia"/>
          <w:color w:val="auto"/>
          <w:spacing w:val="0"/>
          <w:szCs w:val="24"/>
          <w:lang w:eastAsia="zh-CN"/>
        </w:rPr>
      </w:pPr>
      <w:r>
        <w:rPr>
          <w:rFonts w:hint="eastAsia" w:asciiTheme="minorEastAsia" w:hAnsiTheme="minorEastAsia" w:eastAsiaTheme="minorEastAsia"/>
          <w:color w:val="auto"/>
          <w:spacing w:val="0"/>
          <w:szCs w:val="24"/>
          <w:lang w:eastAsia="zh-CN"/>
        </w:rPr>
        <w:t>三、估价对象实地查勘情况和相关照片</w:t>
      </w:r>
    </w:p>
    <w:p>
      <w:pPr>
        <w:shd w:val="clear"/>
        <w:spacing w:line="520" w:lineRule="exact"/>
        <w:ind w:firstLine="480" w:firstLineChars="200"/>
        <w:rPr>
          <w:rFonts w:hint="eastAsia" w:asciiTheme="minorEastAsia" w:hAnsiTheme="minorEastAsia" w:eastAsiaTheme="minorEastAsia"/>
          <w:color w:val="auto"/>
          <w:spacing w:val="0"/>
          <w:szCs w:val="24"/>
          <w:lang w:eastAsia="zh-CN"/>
        </w:rPr>
      </w:pPr>
      <w:r>
        <w:rPr>
          <w:rFonts w:hint="eastAsia" w:asciiTheme="minorEastAsia" w:hAnsiTheme="minorEastAsia" w:eastAsiaTheme="minorEastAsia"/>
          <w:color w:val="auto"/>
          <w:spacing w:val="0"/>
          <w:szCs w:val="24"/>
          <w:lang w:eastAsia="zh-CN"/>
        </w:rPr>
        <w:t>四、估价对象《国有土地使用证》、《房地产权证》等复印件</w:t>
      </w:r>
    </w:p>
    <w:p>
      <w:pPr>
        <w:shd w:val="clear"/>
        <w:spacing w:line="520" w:lineRule="exact"/>
        <w:ind w:firstLine="480" w:firstLineChars="200"/>
        <w:rPr>
          <w:rFonts w:hint="eastAsia" w:asciiTheme="minorEastAsia" w:hAnsiTheme="minorEastAsia" w:eastAsiaTheme="minorEastAsia"/>
          <w:color w:val="auto"/>
          <w:spacing w:val="0"/>
          <w:szCs w:val="24"/>
          <w:lang w:eastAsia="zh-CN"/>
        </w:rPr>
      </w:pPr>
      <w:r>
        <w:rPr>
          <w:rFonts w:hint="eastAsia" w:asciiTheme="minorEastAsia" w:hAnsiTheme="minorEastAsia" w:eastAsiaTheme="minorEastAsia"/>
          <w:color w:val="auto"/>
          <w:spacing w:val="0"/>
          <w:szCs w:val="24"/>
          <w:lang w:eastAsia="zh-CN"/>
        </w:rPr>
        <w:t>五、估价机构营业执照和估价资质证书复印件</w:t>
      </w:r>
    </w:p>
    <w:p>
      <w:pPr>
        <w:shd w:val="clear"/>
        <w:spacing w:line="520" w:lineRule="exact"/>
        <w:ind w:firstLine="480" w:firstLineChars="200"/>
        <w:rPr>
          <w:rFonts w:hint="eastAsia" w:asciiTheme="minorEastAsia" w:hAnsiTheme="minorEastAsia" w:eastAsiaTheme="minorEastAsia"/>
          <w:color w:val="auto"/>
          <w:spacing w:val="0"/>
          <w:szCs w:val="24"/>
          <w:lang w:eastAsia="zh-CN"/>
        </w:rPr>
      </w:pPr>
      <w:r>
        <w:rPr>
          <w:rFonts w:hint="eastAsia" w:asciiTheme="minorEastAsia" w:hAnsiTheme="minorEastAsia" w:eastAsiaTheme="minorEastAsia"/>
          <w:color w:val="auto"/>
          <w:spacing w:val="0"/>
          <w:szCs w:val="24"/>
          <w:lang w:eastAsia="zh-CN"/>
        </w:rPr>
        <w:t>六、注册房地产估价师资格证书复印件</w:t>
      </w:r>
    </w:p>
    <w:p>
      <w:pPr>
        <w:shd w:val="clear"/>
        <w:spacing w:line="520" w:lineRule="exact"/>
        <w:ind w:left="1078" w:leftChars="184" w:hanging="600" w:hangingChars="250"/>
        <w:rPr>
          <w:rFonts w:asciiTheme="minorEastAsia" w:hAnsiTheme="minorEastAsia" w:eastAsiaTheme="minorEastAsia"/>
          <w:color w:val="auto"/>
          <w:spacing w:val="0"/>
          <w:szCs w:val="24"/>
        </w:rPr>
      </w:pPr>
    </w:p>
    <w:p>
      <w:pPr>
        <w:spacing w:line="520" w:lineRule="exact"/>
        <w:rPr>
          <w:rFonts w:asciiTheme="minorEastAsia" w:hAnsiTheme="minorEastAsia" w:eastAsiaTheme="minorEastAsia"/>
          <w:color w:val="1E1C11" w:themeColor="background2" w:themeShade="1A"/>
          <w:spacing w:val="0"/>
          <w:szCs w:val="24"/>
        </w:rPr>
      </w:pPr>
    </w:p>
    <w:p>
      <w:pPr>
        <w:adjustRightInd w:val="0"/>
        <w:snapToGrid w:val="0"/>
        <w:jc w:val="center"/>
        <w:rPr>
          <w:rFonts w:asciiTheme="minorEastAsia" w:hAnsiTheme="minorEastAsia" w:eastAsiaTheme="minorEastAsia"/>
          <w:b/>
          <w:color w:val="1E1C11" w:themeColor="background2" w:themeShade="1A"/>
          <w:position w:val="10"/>
          <w:sz w:val="32"/>
          <w:szCs w:val="32"/>
        </w:rPr>
      </w:pPr>
    </w:p>
    <w:p>
      <w:pPr>
        <w:adjustRightInd w:val="0"/>
        <w:snapToGrid w:val="0"/>
        <w:jc w:val="center"/>
        <w:rPr>
          <w:rFonts w:asciiTheme="minorEastAsia" w:hAnsiTheme="minorEastAsia" w:eastAsiaTheme="minorEastAsia"/>
          <w:b/>
          <w:color w:val="1E1C11" w:themeColor="background2" w:themeShade="1A"/>
          <w:position w:val="10"/>
          <w:sz w:val="32"/>
          <w:szCs w:val="32"/>
        </w:rPr>
      </w:pPr>
      <w:r>
        <w:rPr>
          <w:rFonts w:hint="eastAsia" w:asciiTheme="minorEastAsia" w:hAnsiTheme="minorEastAsia" w:eastAsiaTheme="minorEastAsia"/>
          <w:b/>
          <w:color w:val="1E1C11" w:themeColor="background2" w:themeShade="1A"/>
          <w:position w:val="10"/>
          <w:sz w:val="32"/>
          <w:szCs w:val="32"/>
        </w:rPr>
        <w:t>估价对象位置图</w:t>
      </w:r>
    </w:p>
    <w:p>
      <w:pPr>
        <w:adjustRightInd w:val="0"/>
        <w:snapToGrid w:val="0"/>
        <w:jc w:val="center"/>
        <w:rPr>
          <w:rFonts w:asciiTheme="minorEastAsia" w:hAnsiTheme="minorEastAsia" w:eastAsiaTheme="minorEastAsia"/>
          <w:b/>
          <w:color w:val="1E1C11" w:themeColor="background2" w:themeShade="1A"/>
          <w:position w:val="10"/>
          <w:sz w:val="32"/>
          <w:szCs w:val="32"/>
        </w:rPr>
      </w:pPr>
    </w:p>
    <w:p>
      <w:pPr>
        <w:adjustRightInd w:val="0"/>
        <w:snapToGrid w:val="0"/>
        <w:jc w:val="center"/>
        <w:rPr>
          <w:rFonts w:hint="eastAsia" w:asciiTheme="minorEastAsia" w:hAnsiTheme="minorEastAsia" w:eastAsiaTheme="minorEastAsia"/>
          <w:b/>
          <w:color w:val="1E1C11" w:themeColor="background2" w:themeShade="1A"/>
          <w:position w:val="10"/>
          <w:sz w:val="32"/>
          <w:szCs w:val="32"/>
          <w:lang w:eastAsia="zh-CN"/>
        </w:rPr>
      </w:pPr>
      <w:r>
        <w:rPr>
          <w:rFonts w:hint="eastAsia" w:asciiTheme="minorEastAsia" w:hAnsiTheme="minorEastAsia" w:eastAsiaTheme="minorEastAsia"/>
          <w:b/>
          <w:color w:val="1E1C11" w:themeColor="background2" w:themeShade="1A"/>
          <w:position w:val="10"/>
          <w:sz w:val="32"/>
          <w:szCs w:val="32"/>
          <w:lang w:eastAsia="zh-CN"/>
        </w:rPr>
        <w:drawing>
          <wp:inline distT="0" distB="0" distL="114300" distR="114300">
            <wp:extent cx="5441950" cy="3228340"/>
            <wp:effectExtent l="0" t="0" r="6350" b="10160"/>
            <wp:docPr id="2" name="图片 2" descr="1697156058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97156058439"/>
                    <pic:cNvPicPr>
                      <a:picLocks noChangeAspect="1"/>
                    </pic:cNvPicPr>
                  </pic:nvPicPr>
                  <pic:blipFill>
                    <a:blip r:embed="rId6"/>
                    <a:stretch>
                      <a:fillRect/>
                    </a:stretch>
                  </pic:blipFill>
                  <pic:spPr>
                    <a:xfrm>
                      <a:off x="0" y="0"/>
                      <a:ext cx="5441950" cy="3228340"/>
                    </a:xfrm>
                    <a:prstGeom prst="rect">
                      <a:avLst/>
                    </a:prstGeom>
                  </pic:spPr>
                </pic:pic>
              </a:graphicData>
            </a:graphic>
          </wp:inline>
        </w:drawing>
      </w:r>
    </w:p>
    <w:p>
      <w:pPr>
        <w:adjustRightInd w:val="0"/>
        <w:snapToGrid w:val="0"/>
        <w:jc w:val="center"/>
        <w:rPr>
          <w:rFonts w:asciiTheme="minorEastAsia" w:hAnsiTheme="minorEastAsia" w:eastAsiaTheme="minorEastAsia"/>
          <w:b/>
          <w:color w:val="1E1C11" w:themeColor="background2" w:themeShade="1A"/>
          <w:position w:val="10"/>
          <w:sz w:val="32"/>
          <w:szCs w:val="32"/>
        </w:rPr>
      </w:pPr>
    </w:p>
    <w:sectPr>
      <w:headerReference r:id="rId3" w:type="default"/>
      <w:footerReference r:id="rId4" w:type="default"/>
      <w:pgSz w:w="11906" w:h="16838"/>
      <w:pgMar w:top="1440" w:right="1520" w:bottom="1440" w:left="1797" w:header="851" w:footer="992" w:gutter="0"/>
      <w:pgBorders>
        <w:top w:val="none" w:sz="0" w:space="0"/>
        <w:left w:val="none" w:sz="0" w:space="0"/>
        <w:bottom w:val="none" w:sz="0" w:space="0"/>
        <w:right w:val="none" w:sz="0" w:space="0"/>
      </w:pgBorders>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0"/>
        <w:tab w:val="clear" w:pos="4153"/>
      </w:tabs>
      <w:rPr>
        <w:rFonts w:ascii="宋体" w:hAnsi="宋体"/>
        <w:kern w:val="0"/>
      </w:rPr>
    </w:pPr>
    <w:r>
      <w:rPr>
        <w:rFonts w:ascii="宋体" w:hAnsi="宋体"/>
        <w:spacing w:val="0"/>
        <w:kern w:val="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-34925</wp:posOffset>
              </wp:positionV>
              <wp:extent cx="5266055" cy="0"/>
              <wp:effectExtent l="0" t="0" r="0" b="0"/>
              <wp:wrapNone/>
              <wp:docPr id="1" name="直线 1025"/>
              <wp:cNvGraphicFramePr/>
              <a:graphic xmlns:a="http://schemas.openxmlformats.org/drawingml/2006/main">
                <a:graphicData uri="http://schemas.microsoft.com/office/word/2010/wordprocessingShape">
                  <wps:wsp>
                    <wps:cNvCnPr/>
                    <wps:spPr>
                      <a:xfrm>
                        <a:off x="0" y="0"/>
                        <a:ext cx="526605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25" o:spid="_x0000_s1026" o:spt="20" style="position:absolute;left:0pt;margin-left:0pt;margin-top:-2.75pt;height:0pt;width:414.65pt;z-index:251659264;mso-width-relative:page;mso-height-relative:page;" filled="f" stroked="t" coordsize="21600,21600" o:gfxdata="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S3iQ7UAAAABgEAAA8A&#10;AAAAAAAAAQAgAAAAIgAAAGRycy9kb3ducmV2LnhtbFBLAQIUABQAAAAIAIdO4kA2oHih4gEAANID&#10;AAAOAAAAAAAAAAEAIAAAACMBAABkcnMvZTJvRG9jLnhtbFBLBQYAAAAABgAGAFkBAAB3BQAAAAA=&#10;">
              <v:fill on="f" focussize="0,0"/>
              <v:stroke color="#000000" joinstyle="round"/>
              <v:imagedata o:title=""/>
              <o:lock v:ext="edit" aspectratio="f"/>
            </v:line>
          </w:pict>
        </mc:Fallback>
      </mc:AlternateContent>
    </w:r>
    <w:r>
      <w:rPr>
        <w:rFonts w:hint="eastAsia" w:ascii="宋体" w:hAnsi="宋体"/>
        <w:spacing w:val="0"/>
        <w:kern w:val="0"/>
      </w:rPr>
      <w:t>公司地址：合肥市宿州路238号房产大厦B座9楼         联系电话：0551-</w:t>
    </w:r>
    <w:r>
      <w:rPr>
        <w:rFonts w:hint="eastAsia" w:ascii="宋体" w:hAnsi="宋体"/>
        <w:spacing w:val="0"/>
        <w:kern w:val="0"/>
        <w:lang w:val="en-US" w:eastAsia="zh-CN"/>
      </w:rPr>
      <w:t>62656099</w:t>
    </w:r>
    <w:r>
      <w:rPr>
        <w:rFonts w:hint="eastAsia" w:ascii="宋体" w:hAnsi="宋体"/>
        <w:spacing w:val="0"/>
        <w:kern w:val="0"/>
      </w:rPr>
      <w:t xml:space="preserve">         </w:t>
    </w:r>
    <w:r>
      <w:rPr>
        <w:rFonts w:hint="eastAsia" w:ascii="宋体" w:hAnsi="宋体"/>
        <w:kern w:val="0"/>
      </w:rPr>
      <w:t>第</w:t>
    </w:r>
    <w:r>
      <w:rPr>
        <w:rFonts w:ascii="宋体" w:hAnsi="宋体"/>
      </w:rPr>
      <w:fldChar w:fldCharType="begin"/>
    </w:r>
    <w:r>
      <w:rPr>
        <w:rStyle w:val="22"/>
        <w:rFonts w:ascii="宋体" w:hAnsi="宋体"/>
      </w:rPr>
      <w:instrText xml:space="preserve"> PAGE </w:instrText>
    </w:r>
    <w:r>
      <w:rPr>
        <w:rFonts w:ascii="宋体" w:hAnsi="宋体"/>
      </w:rPr>
      <w:fldChar w:fldCharType="separate"/>
    </w:r>
    <w:r>
      <w:rPr>
        <w:rStyle w:val="22"/>
        <w:rFonts w:ascii="宋体" w:hAnsi="宋体"/>
      </w:rPr>
      <w:t>48</w:t>
    </w:r>
    <w:r>
      <w:rPr>
        <w:rFonts w:ascii="宋体" w:hAnsi="宋体"/>
      </w:rPr>
      <w:fldChar w:fldCharType="end"/>
    </w:r>
    <w:r>
      <w:rPr>
        <w:rFonts w:hint="eastAsia" w:ascii="宋体" w:hAnsi="宋体"/>
        <w:kern w:val="0"/>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0"/>
      </w:pBdr>
      <w:jc w:val="both"/>
      <w:rPr>
        <w:rFonts w:ascii="宋体" w:hAnsi="宋体"/>
        <w:color w:val="000000"/>
        <w:spacing w:val="0"/>
        <w:kern w:val="0"/>
      </w:rPr>
    </w:pPr>
    <w:r>
      <w:rPr>
        <w:rFonts w:hint="eastAsia" w:ascii="宋体" w:hAnsi="宋体"/>
        <w:color w:val="000000"/>
        <w:spacing w:val="0"/>
        <w:kern w:val="0"/>
      </w:rPr>
      <w:t>安徽华兴房地产土地评估有限责任公司                                皖华兴房估报字[202</w:t>
    </w:r>
    <w:r>
      <w:rPr>
        <w:rFonts w:hint="eastAsia" w:ascii="宋体" w:hAnsi="宋体"/>
        <w:color w:val="000000"/>
        <w:spacing w:val="0"/>
        <w:kern w:val="0"/>
        <w:lang w:val="en-US" w:eastAsia="zh-CN"/>
      </w:rPr>
      <w:t>3</w:t>
    </w:r>
    <w:r>
      <w:rPr>
        <w:rFonts w:hint="eastAsia" w:ascii="宋体" w:hAnsi="宋体"/>
        <w:color w:val="000000"/>
        <w:spacing w:val="0"/>
        <w:kern w:val="0"/>
      </w:rPr>
      <w:t>]第</w:t>
    </w:r>
    <w:r>
      <w:rPr>
        <w:rFonts w:hint="eastAsia" w:ascii="宋体" w:hAnsi="宋体"/>
        <w:color w:val="000000"/>
        <w:spacing w:val="0"/>
        <w:kern w:val="0"/>
        <w:lang w:val="en-US" w:eastAsia="zh-CN"/>
      </w:rPr>
      <w:t>8577</w:t>
    </w:r>
    <w:r>
      <w:rPr>
        <w:rFonts w:hint="eastAsia" w:ascii="宋体" w:hAnsi="宋体"/>
        <w:color w:val="000000"/>
        <w:spacing w:val="0"/>
        <w:kern w:val="0"/>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4A56D2"/>
    <w:multiLevelType w:val="singleLevel"/>
    <w:tmpl w:val="234A56D2"/>
    <w:lvl w:ilvl="0" w:tentative="0">
      <w:start w:val="8"/>
      <w:numFmt w:val="decimal"/>
      <w:suff w:val="nothing"/>
      <w:lvlText w:val="%1、"/>
      <w:lvlJc w:val="left"/>
    </w:lvl>
  </w:abstractNum>
  <w:abstractNum w:abstractNumId="1">
    <w:nsid w:val="242BE8B8"/>
    <w:multiLevelType w:val="singleLevel"/>
    <w:tmpl w:val="242BE8B8"/>
    <w:lvl w:ilvl="0" w:tentative="0">
      <w:start w:val="3"/>
      <w:numFmt w:val="decimal"/>
      <w:suff w:val="nothing"/>
      <w:lvlText w:val="%1、"/>
      <w:lvlJc w:val="left"/>
    </w:lvl>
  </w:abstractNum>
  <w:abstractNum w:abstractNumId="2">
    <w:nsid w:val="67F43566"/>
    <w:multiLevelType w:val="singleLevel"/>
    <w:tmpl w:val="67F43566"/>
    <w:lvl w:ilvl="0" w:tentative="0">
      <w:start w:val="7"/>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hMTQ1NjQ5ZjVjZDZlY2UxYjZmZDkxNDQ0NGZjMmQifQ=="/>
  </w:docVars>
  <w:rsids>
    <w:rsidRoot w:val="003B6BD2"/>
    <w:rsid w:val="000009B3"/>
    <w:rsid w:val="00003EE1"/>
    <w:rsid w:val="000120AF"/>
    <w:rsid w:val="000120FD"/>
    <w:rsid w:val="00012FB1"/>
    <w:rsid w:val="000135B3"/>
    <w:rsid w:val="00013646"/>
    <w:rsid w:val="00017B2B"/>
    <w:rsid w:val="000233BB"/>
    <w:rsid w:val="00023973"/>
    <w:rsid w:val="00026B90"/>
    <w:rsid w:val="00030226"/>
    <w:rsid w:val="00033021"/>
    <w:rsid w:val="000356DE"/>
    <w:rsid w:val="00041FEC"/>
    <w:rsid w:val="0004250C"/>
    <w:rsid w:val="00044D6C"/>
    <w:rsid w:val="00045C3E"/>
    <w:rsid w:val="00045ED6"/>
    <w:rsid w:val="000475B2"/>
    <w:rsid w:val="000536BA"/>
    <w:rsid w:val="00054DB0"/>
    <w:rsid w:val="00060F14"/>
    <w:rsid w:val="00064126"/>
    <w:rsid w:val="00066217"/>
    <w:rsid w:val="00066446"/>
    <w:rsid w:val="00072010"/>
    <w:rsid w:val="00072FD1"/>
    <w:rsid w:val="00073A9D"/>
    <w:rsid w:val="00073FC4"/>
    <w:rsid w:val="00076FD3"/>
    <w:rsid w:val="00077AD4"/>
    <w:rsid w:val="00077DDD"/>
    <w:rsid w:val="00082278"/>
    <w:rsid w:val="0008254F"/>
    <w:rsid w:val="00084538"/>
    <w:rsid w:val="00085447"/>
    <w:rsid w:val="000906C5"/>
    <w:rsid w:val="000915DE"/>
    <w:rsid w:val="00093ED4"/>
    <w:rsid w:val="00094530"/>
    <w:rsid w:val="00095EC4"/>
    <w:rsid w:val="00097509"/>
    <w:rsid w:val="00097FCB"/>
    <w:rsid w:val="000A3013"/>
    <w:rsid w:val="000A49A8"/>
    <w:rsid w:val="000B34E1"/>
    <w:rsid w:val="000B37FF"/>
    <w:rsid w:val="000C291E"/>
    <w:rsid w:val="000C2DF9"/>
    <w:rsid w:val="000C6940"/>
    <w:rsid w:val="000D3042"/>
    <w:rsid w:val="000D3E90"/>
    <w:rsid w:val="000D6440"/>
    <w:rsid w:val="000E5C64"/>
    <w:rsid w:val="000F571C"/>
    <w:rsid w:val="000F6CF8"/>
    <w:rsid w:val="0010130F"/>
    <w:rsid w:val="00101CF2"/>
    <w:rsid w:val="001044BA"/>
    <w:rsid w:val="00104D94"/>
    <w:rsid w:val="00106150"/>
    <w:rsid w:val="0010637A"/>
    <w:rsid w:val="00106446"/>
    <w:rsid w:val="001102CB"/>
    <w:rsid w:val="001110CA"/>
    <w:rsid w:val="00114534"/>
    <w:rsid w:val="00114DBD"/>
    <w:rsid w:val="00115029"/>
    <w:rsid w:val="0011512D"/>
    <w:rsid w:val="00116196"/>
    <w:rsid w:val="0011789C"/>
    <w:rsid w:val="001208FA"/>
    <w:rsid w:val="00122A0E"/>
    <w:rsid w:val="00131818"/>
    <w:rsid w:val="0013450F"/>
    <w:rsid w:val="0013522C"/>
    <w:rsid w:val="00142B54"/>
    <w:rsid w:val="001435F1"/>
    <w:rsid w:val="00147A34"/>
    <w:rsid w:val="00150B15"/>
    <w:rsid w:val="001511A2"/>
    <w:rsid w:val="0015188B"/>
    <w:rsid w:val="0015498F"/>
    <w:rsid w:val="00156738"/>
    <w:rsid w:val="0015760C"/>
    <w:rsid w:val="00160C82"/>
    <w:rsid w:val="00162BBC"/>
    <w:rsid w:val="00162FA6"/>
    <w:rsid w:val="00163512"/>
    <w:rsid w:val="00164339"/>
    <w:rsid w:val="00171BA2"/>
    <w:rsid w:val="001722B1"/>
    <w:rsid w:val="00173485"/>
    <w:rsid w:val="00176442"/>
    <w:rsid w:val="00181E01"/>
    <w:rsid w:val="00182A25"/>
    <w:rsid w:val="00183342"/>
    <w:rsid w:val="00194F54"/>
    <w:rsid w:val="001978C1"/>
    <w:rsid w:val="00197E07"/>
    <w:rsid w:val="001A0D1C"/>
    <w:rsid w:val="001A12DB"/>
    <w:rsid w:val="001A187E"/>
    <w:rsid w:val="001A3AEB"/>
    <w:rsid w:val="001A4DDA"/>
    <w:rsid w:val="001A7A5D"/>
    <w:rsid w:val="001B179F"/>
    <w:rsid w:val="001B44A5"/>
    <w:rsid w:val="001B47F6"/>
    <w:rsid w:val="001B5112"/>
    <w:rsid w:val="001B5DBE"/>
    <w:rsid w:val="001C3B6E"/>
    <w:rsid w:val="001C60B2"/>
    <w:rsid w:val="001C6366"/>
    <w:rsid w:val="001C7699"/>
    <w:rsid w:val="001C7DDD"/>
    <w:rsid w:val="001D01DE"/>
    <w:rsid w:val="001D0B10"/>
    <w:rsid w:val="001D250B"/>
    <w:rsid w:val="001D48F3"/>
    <w:rsid w:val="001E0069"/>
    <w:rsid w:val="001E27FD"/>
    <w:rsid w:val="001E3D2F"/>
    <w:rsid w:val="001E7BF2"/>
    <w:rsid w:val="001F29B9"/>
    <w:rsid w:val="001F42C7"/>
    <w:rsid w:val="001F4E3E"/>
    <w:rsid w:val="001F5FCC"/>
    <w:rsid w:val="001F69FA"/>
    <w:rsid w:val="002012DA"/>
    <w:rsid w:val="002016D8"/>
    <w:rsid w:val="00201B7F"/>
    <w:rsid w:val="0020233A"/>
    <w:rsid w:val="00206A04"/>
    <w:rsid w:val="002108FC"/>
    <w:rsid w:val="00212134"/>
    <w:rsid w:val="002125D5"/>
    <w:rsid w:val="00212629"/>
    <w:rsid w:val="00214EB3"/>
    <w:rsid w:val="002178B2"/>
    <w:rsid w:val="00217C02"/>
    <w:rsid w:val="00221D54"/>
    <w:rsid w:val="00222171"/>
    <w:rsid w:val="0022403E"/>
    <w:rsid w:val="00230ED3"/>
    <w:rsid w:val="00234843"/>
    <w:rsid w:val="002444A5"/>
    <w:rsid w:val="002456B1"/>
    <w:rsid w:val="0024655C"/>
    <w:rsid w:val="002470BE"/>
    <w:rsid w:val="00254870"/>
    <w:rsid w:val="00254A39"/>
    <w:rsid w:val="002621D3"/>
    <w:rsid w:val="00273A41"/>
    <w:rsid w:val="002748F5"/>
    <w:rsid w:val="002807FD"/>
    <w:rsid w:val="00280FAB"/>
    <w:rsid w:val="00281E90"/>
    <w:rsid w:val="00285046"/>
    <w:rsid w:val="00285627"/>
    <w:rsid w:val="002860D0"/>
    <w:rsid w:val="0028669C"/>
    <w:rsid w:val="0029114A"/>
    <w:rsid w:val="00291854"/>
    <w:rsid w:val="00291F86"/>
    <w:rsid w:val="00293372"/>
    <w:rsid w:val="00293DF2"/>
    <w:rsid w:val="002A0888"/>
    <w:rsid w:val="002A16CA"/>
    <w:rsid w:val="002A2612"/>
    <w:rsid w:val="002A52CE"/>
    <w:rsid w:val="002B2CE6"/>
    <w:rsid w:val="002C2922"/>
    <w:rsid w:val="002C3D5E"/>
    <w:rsid w:val="002C5AC7"/>
    <w:rsid w:val="002D1E6F"/>
    <w:rsid w:val="002D5B9C"/>
    <w:rsid w:val="002D6066"/>
    <w:rsid w:val="002D6924"/>
    <w:rsid w:val="002D749F"/>
    <w:rsid w:val="002E01E2"/>
    <w:rsid w:val="002E02FB"/>
    <w:rsid w:val="002E13F2"/>
    <w:rsid w:val="002E1AD7"/>
    <w:rsid w:val="002E1BF4"/>
    <w:rsid w:val="002E2773"/>
    <w:rsid w:val="002E3C9B"/>
    <w:rsid w:val="002E43E7"/>
    <w:rsid w:val="002E6492"/>
    <w:rsid w:val="002E6BA4"/>
    <w:rsid w:val="002E7D80"/>
    <w:rsid w:val="002F18D3"/>
    <w:rsid w:val="002F36FA"/>
    <w:rsid w:val="002F417C"/>
    <w:rsid w:val="002F465F"/>
    <w:rsid w:val="002F5EEE"/>
    <w:rsid w:val="002F7789"/>
    <w:rsid w:val="002F7C03"/>
    <w:rsid w:val="003008A0"/>
    <w:rsid w:val="00300F3D"/>
    <w:rsid w:val="00301062"/>
    <w:rsid w:val="00301735"/>
    <w:rsid w:val="0030442F"/>
    <w:rsid w:val="00305E20"/>
    <w:rsid w:val="00306728"/>
    <w:rsid w:val="0030795A"/>
    <w:rsid w:val="00307FC6"/>
    <w:rsid w:val="00310672"/>
    <w:rsid w:val="00314ECF"/>
    <w:rsid w:val="0031536C"/>
    <w:rsid w:val="003217C4"/>
    <w:rsid w:val="00324486"/>
    <w:rsid w:val="00324D94"/>
    <w:rsid w:val="00326BEE"/>
    <w:rsid w:val="0032713C"/>
    <w:rsid w:val="00330398"/>
    <w:rsid w:val="00330786"/>
    <w:rsid w:val="00335E6A"/>
    <w:rsid w:val="00336A7E"/>
    <w:rsid w:val="00337273"/>
    <w:rsid w:val="0034423C"/>
    <w:rsid w:val="0034524B"/>
    <w:rsid w:val="0034564D"/>
    <w:rsid w:val="00345B40"/>
    <w:rsid w:val="00345CB9"/>
    <w:rsid w:val="00351D70"/>
    <w:rsid w:val="003540B7"/>
    <w:rsid w:val="003546C2"/>
    <w:rsid w:val="00354855"/>
    <w:rsid w:val="003560C6"/>
    <w:rsid w:val="003648FB"/>
    <w:rsid w:val="003651FB"/>
    <w:rsid w:val="003705D9"/>
    <w:rsid w:val="003708D4"/>
    <w:rsid w:val="00371E55"/>
    <w:rsid w:val="00372E84"/>
    <w:rsid w:val="003753EA"/>
    <w:rsid w:val="00380F4B"/>
    <w:rsid w:val="0039053F"/>
    <w:rsid w:val="00390D86"/>
    <w:rsid w:val="00395B9C"/>
    <w:rsid w:val="00396277"/>
    <w:rsid w:val="003A2244"/>
    <w:rsid w:val="003A4788"/>
    <w:rsid w:val="003A5577"/>
    <w:rsid w:val="003A634A"/>
    <w:rsid w:val="003A6C47"/>
    <w:rsid w:val="003A7DDC"/>
    <w:rsid w:val="003B1FD5"/>
    <w:rsid w:val="003B2159"/>
    <w:rsid w:val="003B334B"/>
    <w:rsid w:val="003B5764"/>
    <w:rsid w:val="003B5E4F"/>
    <w:rsid w:val="003B62CD"/>
    <w:rsid w:val="003B6BD2"/>
    <w:rsid w:val="003B6D65"/>
    <w:rsid w:val="003C6E77"/>
    <w:rsid w:val="003C6EA2"/>
    <w:rsid w:val="003D2AB7"/>
    <w:rsid w:val="003D69E6"/>
    <w:rsid w:val="003E04B4"/>
    <w:rsid w:val="003E11A0"/>
    <w:rsid w:val="003E558D"/>
    <w:rsid w:val="003E5FAD"/>
    <w:rsid w:val="003E6099"/>
    <w:rsid w:val="003F03DD"/>
    <w:rsid w:val="003F1220"/>
    <w:rsid w:val="003F142E"/>
    <w:rsid w:val="003F2B4F"/>
    <w:rsid w:val="003F2DA8"/>
    <w:rsid w:val="003F318C"/>
    <w:rsid w:val="003F4531"/>
    <w:rsid w:val="003F631C"/>
    <w:rsid w:val="004007A4"/>
    <w:rsid w:val="004055AD"/>
    <w:rsid w:val="00406CFC"/>
    <w:rsid w:val="0041090C"/>
    <w:rsid w:val="00412099"/>
    <w:rsid w:val="00415AC3"/>
    <w:rsid w:val="00417435"/>
    <w:rsid w:val="0041786E"/>
    <w:rsid w:val="00417DB8"/>
    <w:rsid w:val="004200C7"/>
    <w:rsid w:val="00420901"/>
    <w:rsid w:val="00422178"/>
    <w:rsid w:val="00425E4A"/>
    <w:rsid w:val="00426303"/>
    <w:rsid w:val="004274EF"/>
    <w:rsid w:val="00432E4F"/>
    <w:rsid w:val="0043349B"/>
    <w:rsid w:val="004343B6"/>
    <w:rsid w:val="0043759A"/>
    <w:rsid w:val="00440F7A"/>
    <w:rsid w:val="00442379"/>
    <w:rsid w:val="004461E3"/>
    <w:rsid w:val="00451242"/>
    <w:rsid w:val="00451D57"/>
    <w:rsid w:val="00453B88"/>
    <w:rsid w:val="004626D2"/>
    <w:rsid w:val="00463406"/>
    <w:rsid w:val="004642B7"/>
    <w:rsid w:val="00464ABE"/>
    <w:rsid w:val="004656D9"/>
    <w:rsid w:val="00467176"/>
    <w:rsid w:val="00471EEC"/>
    <w:rsid w:val="0047752A"/>
    <w:rsid w:val="00480A0C"/>
    <w:rsid w:val="00480FD1"/>
    <w:rsid w:val="00483F28"/>
    <w:rsid w:val="00484A44"/>
    <w:rsid w:val="004854C4"/>
    <w:rsid w:val="00485928"/>
    <w:rsid w:val="00486F5B"/>
    <w:rsid w:val="004874FD"/>
    <w:rsid w:val="0049037F"/>
    <w:rsid w:val="00490545"/>
    <w:rsid w:val="00490D58"/>
    <w:rsid w:val="00492AF2"/>
    <w:rsid w:val="004A156A"/>
    <w:rsid w:val="004A16E4"/>
    <w:rsid w:val="004B0F49"/>
    <w:rsid w:val="004B46E3"/>
    <w:rsid w:val="004B5FA0"/>
    <w:rsid w:val="004C188F"/>
    <w:rsid w:val="004C2AEE"/>
    <w:rsid w:val="004C3DE7"/>
    <w:rsid w:val="004C5E5A"/>
    <w:rsid w:val="004D0993"/>
    <w:rsid w:val="004D32D2"/>
    <w:rsid w:val="004D53BE"/>
    <w:rsid w:val="004D5787"/>
    <w:rsid w:val="004D595B"/>
    <w:rsid w:val="004D76FA"/>
    <w:rsid w:val="004D7708"/>
    <w:rsid w:val="004E024D"/>
    <w:rsid w:val="004E1233"/>
    <w:rsid w:val="004E3D6D"/>
    <w:rsid w:val="004E4FE5"/>
    <w:rsid w:val="004E731F"/>
    <w:rsid w:val="004E7921"/>
    <w:rsid w:val="004F0D55"/>
    <w:rsid w:val="004F1E24"/>
    <w:rsid w:val="004F1F9D"/>
    <w:rsid w:val="004F2C5A"/>
    <w:rsid w:val="004F32F2"/>
    <w:rsid w:val="004F3EC5"/>
    <w:rsid w:val="004F578C"/>
    <w:rsid w:val="004F597A"/>
    <w:rsid w:val="004F5E80"/>
    <w:rsid w:val="004F7792"/>
    <w:rsid w:val="005001E1"/>
    <w:rsid w:val="005013FB"/>
    <w:rsid w:val="00501DF3"/>
    <w:rsid w:val="00503019"/>
    <w:rsid w:val="0050393E"/>
    <w:rsid w:val="00503C5D"/>
    <w:rsid w:val="005052C0"/>
    <w:rsid w:val="00506C47"/>
    <w:rsid w:val="00506FB8"/>
    <w:rsid w:val="005078FB"/>
    <w:rsid w:val="00510BCE"/>
    <w:rsid w:val="00510C92"/>
    <w:rsid w:val="00510E2E"/>
    <w:rsid w:val="005113D9"/>
    <w:rsid w:val="005136A8"/>
    <w:rsid w:val="005141EE"/>
    <w:rsid w:val="00515DCB"/>
    <w:rsid w:val="00520EBB"/>
    <w:rsid w:val="00520F0F"/>
    <w:rsid w:val="00525DC5"/>
    <w:rsid w:val="00526E30"/>
    <w:rsid w:val="005276B7"/>
    <w:rsid w:val="00530433"/>
    <w:rsid w:val="00531C16"/>
    <w:rsid w:val="00533217"/>
    <w:rsid w:val="00533B60"/>
    <w:rsid w:val="00534C51"/>
    <w:rsid w:val="00535796"/>
    <w:rsid w:val="005363B4"/>
    <w:rsid w:val="005423D7"/>
    <w:rsid w:val="00543E23"/>
    <w:rsid w:val="00543E3D"/>
    <w:rsid w:val="00544FE0"/>
    <w:rsid w:val="00551D4F"/>
    <w:rsid w:val="005541F6"/>
    <w:rsid w:val="00554B80"/>
    <w:rsid w:val="005554D5"/>
    <w:rsid w:val="00560EB4"/>
    <w:rsid w:val="005617EB"/>
    <w:rsid w:val="0056254F"/>
    <w:rsid w:val="00562860"/>
    <w:rsid w:val="00562E4A"/>
    <w:rsid w:val="00564375"/>
    <w:rsid w:val="005655EC"/>
    <w:rsid w:val="00566D10"/>
    <w:rsid w:val="00566E26"/>
    <w:rsid w:val="005671EA"/>
    <w:rsid w:val="0057016F"/>
    <w:rsid w:val="00572918"/>
    <w:rsid w:val="005735AC"/>
    <w:rsid w:val="00573FD3"/>
    <w:rsid w:val="00574C40"/>
    <w:rsid w:val="00577695"/>
    <w:rsid w:val="005826B2"/>
    <w:rsid w:val="00583E69"/>
    <w:rsid w:val="00585C62"/>
    <w:rsid w:val="00586317"/>
    <w:rsid w:val="00587E44"/>
    <w:rsid w:val="00590059"/>
    <w:rsid w:val="0059063F"/>
    <w:rsid w:val="005965CA"/>
    <w:rsid w:val="0059685E"/>
    <w:rsid w:val="00597E92"/>
    <w:rsid w:val="005A494A"/>
    <w:rsid w:val="005A5399"/>
    <w:rsid w:val="005A5B9B"/>
    <w:rsid w:val="005A6279"/>
    <w:rsid w:val="005B7437"/>
    <w:rsid w:val="005B7A34"/>
    <w:rsid w:val="005C008A"/>
    <w:rsid w:val="005C2185"/>
    <w:rsid w:val="005C2259"/>
    <w:rsid w:val="005C4ACC"/>
    <w:rsid w:val="005C69BB"/>
    <w:rsid w:val="005D37FD"/>
    <w:rsid w:val="005D5E50"/>
    <w:rsid w:val="005D71BE"/>
    <w:rsid w:val="005E01A7"/>
    <w:rsid w:val="005E1444"/>
    <w:rsid w:val="005E19A1"/>
    <w:rsid w:val="005E3213"/>
    <w:rsid w:val="005E4331"/>
    <w:rsid w:val="005E4E22"/>
    <w:rsid w:val="005E56EB"/>
    <w:rsid w:val="005E5A97"/>
    <w:rsid w:val="005E5BC1"/>
    <w:rsid w:val="005E6EA9"/>
    <w:rsid w:val="005F05BA"/>
    <w:rsid w:val="005F0D27"/>
    <w:rsid w:val="005F209E"/>
    <w:rsid w:val="005F4F41"/>
    <w:rsid w:val="005F5F9F"/>
    <w:rsid w:val="006034E6"/>
    <w:rsid w:val="00606A5C"/>
    <w:rsid w:val="00607BEF"/>
    <w:rsid w:val="006106FB"/>
    <w:rsid w:val="00610E5F"/>
    <w:rsid w:val="006121FC"/>
    <w:rsid w:val="00612835"/>
    <w:rsid w:val="00612C41"/>
    <w:rsid w:val="00612DB3"/>
    <w:rsid w:val="0061404B"/>
    <w:rsid w:val="0061607D"/>
    <w:rsid w:val="006179F5"/>
    <w:rsid w:val="006200BF"/>
    <w:rsid w:val="00623B24"/>
    <w:rsid w:val="006247CB"/>
    <w:rsid w:val="00626C00"/>
    <w:rsid w:val="0062759B"/>
    <w:rsid w:val="00630428"/>
    <w:rsid w:val="00631427"/>
    <w:rsid w:val="0063164A"/>
    <w:rsid w:val="0063319C"/>
    <w:rsid w:val="006359B6"/>
    <w:rsid w:val="006423AF"/>
    <w:rsid w:val="0064259A"/>
    <w:rsid w:val="00642805"/>
    <w:rsid w:val="00643B42"/>
    <w:rsid w:val="00650E51"/>
    <w:rsid w:val="006517DF"/>
    <w:rsid w:val="00651DB1"/>
    <w:rsid w:val="006526FB"/>
    <w:rsid w:val="00657CC8"/>
    <w:rsid w:val="00662EEE"/>
    <w:rsid w:val="00665A61"/>
    <w:rsid w:val="0066682F"/>
    <w:rsid w:val="0067123E"/>
    <w:rsid w:val="006747A5"/>
    <w:rsid w:val="0067495A"/>
    <w:rsid w:val="00674A3B"/>
    <w:rsid w:val="0067608A"/>
    <w:rsid w:val="006835E4"/>
    <w:rsid w:val="006906A9"/>
    <w:rsid w:val="006910DC"/>
    <w:rsid w:val="00691A89"/>
    <w:rsid w:val="00691CEE"/>
    <w:rsid w:val="00692093"/>
    <w:rsid w:val="006934D3"/>
    <w:rsid w:val="006A03ED"/>
    <w:rsid w:val="006A3E3A"/>
    <w:rsid w:val="006A58E1"/>
    <w:rsid w:val="006A6031"/>
    <w:rsid w:val="006A7ABD"/>
    <w:rsid w:val="006B1AE0"/>
    <w:rsid w:val="006B3646"/>
    <w:rsid w:val="006B574A"/>
    <w:rsid w:val="006C1EC6"/>
    <w:rsid w:val="006C4897"/>
    <w:rsid w:val="006C51DA"/>
    <w:rsid w:val="006C5B28"/>
    <w:rsid w:val="006C6FF9"/>
    <w:rsid w:val="006D0794"/>
    <w:rsid w:val="006D157E"/>
    <w:rsid w:val="006D6E13"/>
    <w:rsid w:val="006E069E"/>
    <w:rsid w:val="006E172C"/>
    <w:rsid w:val="006E1813"/>
    <w:rsid w:val="006E46B9"/>
    <w:rsid w:val="006F2F22"/>
    <w:rsid w:val="006F476C"/>
    <w:rsid w:val="006F6538"/>
    <w:rsid w:val="006F778F"/>
    <w:rsid w:val="006F7E49"/>
    <w:rsid w:val="007028DB"/>
    <w:rsid w:val="00702D6C"/>
    <w:rsid w:val="00713CE0"/>
    <w:rsid w:val="0071470C"/>
    <w:rsid w:val="00714774"/>
    <w:rsid w:val="0072045B"/>
    <w:rsid w:val="00726453"/>
    <w:rsid w:val="00731E6D"/>
    <w:rsid w:val="00732031"/>
    <w:rsid w:val="00735DB2"/>
    <w:rsid w:val="00736036"/>
    <w:rsid w:val="00736E1D"/>
    <w:rsid w:val="007371DE"/>
    <w:rsid w:val="00737A8D"/>
    <w:rsid w:val="00740181"/>
    <w:rsid w:val="007411FE"/>
    <w:rsid w:val="00743788"/>
    <w:rsid w:val="007449F3"/>
    <w:rsid w:val="00746752"/>
    <w:rsid w:val="00747F83"/>
    <w:rsid w:val="007528CB"/>
    <w:rsid w:val="00755EEA"/>
    <w:rsid w:val="00757F79"/>
    <w:rsid w:val="00761A6C"/>
    <w:rsid w:val="0076331C"/>
    <w:rsid w:val="00765B2F"/>
    <w:rsid w:val="0076616E"/>
    <w:rsid w:val="00767598"/>
    <w:rsid w:val="0077007B"/>
    <w:rsid w:val="00771D76"/>
    <w:rsid w:val="00772058"/>
    <w:rsid w:val="007730FB"/>
    <w:rsid w:val="007748A7"/>
    <w:rsid w:val="00776C2E"/>
    <w:rsid w:val="00780CD6"/>
    <w:rsid w:val="007816F0"/>
    <w:rsid w:val="0078282C"/>
    <w:rsid w:val="00785BF7"/>
    <w:rsid w:val="00786FB8"/>
    <w:rsid w:val="00787B7B"/>
    <w:rsid w:val="007903B9"/>
    <w:rsid w:val="00790F3A"/>
    <w:rsid w:val="0079283D"/>
    <w:rsid w:val="0079773F"/>
    <w:rsid w:val="00797A9E"/>
    <w:rsid w:val="007A15F4"/>
    <w:rsid w:val="007A2134"/>
    <w:rsid w:val="007A44B3"/>
    <w:rsid w:val="007A4835"/>
    <w:rsid w:val="007A4F50"/>
    <w:rsid w:val="007A7D52"/>
    <w:rsid w:val="007B051C"/>
    <w:rsid w:val="007C02DC"/>
    <w:rsid w:val="007C2552"/>
    <w:rsid w:val="007C361C"/>
    <w:rsid w:val="007C4339"/>
    <w:rsid w:val="007C7286"/>
    <w:rsid w:val="007D0553"/>
    <w:rsid w:val="007D19CA"/>
    <w:rsid w:val="007D4A06"/>
    <w:rsid w:val="007D56B5"/>
    <w:rsid w:val="007D7363"/>
    <w:rsid w:val="007E1834"/>
    <w:rsid w:val="007E257E"/>
    <w:rsid w:val="007E453C"/>
    <w:rsid w:val="007E54B3"/>
    <w:rsid w:val="007E560A"/>
    <w:rsid w:val="007E5773"/>
    <w:rsid w:val="007E66DB"/>
    <w:rsid w:val="007F0808"/>
    <w:rsid w:val="007F100F"/>
    <w:rsid w:val="007F1026"/>
    <w:rsid w:val="007F3C23"/>
    <w:rsid w:val="007F5016"/>
    <w:rsid w:val="007F68F8"/>
    <w:rsid w:val="008008FE"/>
    <w:rsid w:val="00801721"/>
    <w:rsid w:val="00801B14"/>
    <w:rsid w:val="008021D5"/>
    <w:rsid w:val="0080240D"/>
    <w:rsid w:val="00804C4C"/>
    <w:rsid w:val="008109E4"/>
    <w:rsid w:val="00812D58"/>
    <w:rsid w:val="00813CC3"/>
    <w:rsid w:val="0081502C"/>
    <w:rsid w:val="008168B5"/>
    <w:rsid w:val="00820D70"/>
    <w:rsid w:val="008229EB"/>
    <w:rsid w:val="0082330F"/>
    <w:rsid w:val="00823882"/>
    <w:rsid w:val="008249B6"/>
    <w:rsid w:val="00825175"/>
    <w:rsid w:val="008276E0"/>
    <w:rsid w:val="0083133F"/>
    <w:rsid w:val="00831FC9"/>
    <w:rsid w:val="008353FD"/>
    <w:rsid w:val="00835466"/>
    <w:rsid w:val="008358DB"/>
    <w:rsid w:val="00837FC5"/>
    <w:rsid w:val="0084002F"/>
    <w:rsid w:val="008415CE"/>
    <w:rsid w:val="00841E16"/>
    <w:rsid w:val="00843758"/>
    <w:rsid w:val="00843FA3"/>
    <w:rsid w:val="0084405F"/>
    <w:rsid w:val="008452F9"/>
    <w:rsid w:val="00845EA8"/>
    <w:rsid w:val="00850822"/>
    <w:rsid w:val="00852257"/>
    <w:rsid w:val="00854474"/>
    <w:rsid w:val="00854D6B"/>
    <w:rsid w:val="008556B1"/>
    <w:rsid w:val="00856974"/>
    <w:rsid w:val="008614EC"/>
    <w:rsid w:val="00861DEC"/>
    <w:rsid w:val="00863E72"/>
    <w:rsid w:val="008656A1"/>
    <w:rsid w:val="008657CC"/>
    <w:rsid w:val="00865E8A"/>
    <w:rsid w:val="00865F06"/>
    <w:rsid w:val="008701B0"/>
    <w:rsid w:val="008710B2"/>
    <w:rsid w:val="0087221F"/>
    <w:rsid w:val="0087296B"/>
    <w:rsid w:val="00875A3B"/>
    <w:rsid w:val="008761C0"/>
    <w:rsid w:val="00877685"/>
    <w:rsid w:val="00877885"/>
    <w:rsid w:val="0088219C"/>
    <w:rsid w:val="00882E7B"/>
    <w:rsid w:val="00885237"/>
    <w:rsid w:val="0088626C"/>
    <w:rsid w:val="008919B2"/>
    <w:rsid w:val="00895F1F"/>
    <w:rsid w:val="00896302"/>
    <w:rsid w:val="008A008F"/>
    <w:rsid w:val="008A0220"/>
    <w:rsid w:val="008A02C9"/>
    <w:rsid w:val="008A085C"/>
    <w:rsid w:val="008A2D31"/>
    <w:rsid w:val="008A4842"/>
    <w:rsid w:val="008A5C6C"/>
    <w:rsid w:val="008A780B"/>
    <w:rsid w:val="008B3C31"/>
    <w:rsid w:val="008B63F9"/>
    <w:rsid w:val="008C6114"/>
    <w:rsid w:val="008C65CC"/>
    <w:rsid w:val="008D3B7E"/>
    <w:rsid w:val="008D4095"/>
    <w:rsid w:val="008D5763"/>
    <w:rsid w:val="008D6F37"/>
    <w:rsid w:val="008E0B8C"/>
    <w:rsid w:val="008E2F24"/>
    <w:rsid w:val="008E41A0"/>
    <w:rsid w:val="008E5C72"/>
    <w:rsid w:val="008F347E"/>
    <w:rsid w:val="008F74C0"/>
    <w:rsid w:val="00900415"/>
    <w:rsid w:val="0090191B"/>
    <w:rsid w:val="009025CF"/>
    <w:rsid w:val="00907DAD"/>
    <w:rsid w:val="0091013A"/>
    <w:rsid w:val="00913214"/>
    <w:rsid w:val="00914592"/>
    <w:rsid w:val="009176C1"/>
    <w:rsid w:val="00923305"/>
    <w:rsid w:val="00923859"/>
    <w:rsid w:val="009271DE"/>
    <w:rsid w:val="00930F7B"/>
    <w:rsid w:val="009316C4"/>
    <w:rsid w:val="009330D9"/>
    <w:rsid w:val="009333B4"/>
    <w:rsid w:val="00933CD1"/>
    <w:rsid w:val="00934747"/>
    <w:rsid w:val="00940BE0"/>
    <w:rsid w:val="009448A6"/>
    <w:rsid w:val="009470BB"/>
    <w:rsid w:val="00953349"/>
    <w:rsid w:val="00953894"/>
    <w:rsid w:val="00953AA0"/>
    <w:rsid w:val="009548BA"/>
    <w:rsid w:val="00954D23"/>
    <w:rsid w:val="009554A9"/>
    <w:rsid w:val="00956B37"/>
    <w:rsid w:val="009573C6"/>
    <w:rsid w:val="00957CDC"/>
    <w:rsid w:val="009622A5"/>
    <w:rsid w:val="00962F0B"/>
    <w:rsid w:val="0096386C"/>
    <w:rsid w:val="00966FF5"/>
    <w:rsid w:val="0096712C"/>
    <w:rsid w:val="00971BEA"/>
    <w:rsid w:val="00972E0D"/>
    <w:rsid w:val="0097503F"/>
    <w:rsid w:val="00975453"/>
    <w:rsid w:val="009779E9"/>
    <w:rsid w:val="00980693"/>
    <w:rsid w:val="00982A17"/>
    <w:rsid w:val="00982A69"/>
    <w:rsid w:val="0098354E"/>
    <w:rsid w:val="0098548F"/>
    <w:rsid w:val="009866F8"/>
    <w:rsid w:val="00990E5B"/>
    <w:rsid w:val="009910E4"/>
    <w:rsid w:val="00991A0A"/>
    <w:rsid w:val="009952EE"/>
    <w:rsid w:val="009962F7"/>
    <w:rsid w:val="009A0DB1"/>
    <w:rsid w:val="009A0F54"/>
    <w:rsid w:val="009A174E"/>
    <w:rsid w:val="009A30C8"/>
    <w:rsid w:val="009A42F3"/>
    <w:rsid w:val="009A7442"/>
    <w:rsid w:val="009B0D68"/>
    <w:rsid w:val="009B33E5"/>
    <w:rsid w:val="009B39FE"/>
    <w:rsid w:val="009B4033"/>
    <w:rsid w:val="009B5DB9"/>
    <w:rsid w:val="009B7F55"/>
    <w:rsid w:val="009C1617"/>
    <w:rsid w:val="009C1A48"/>
    <w:rsid w:val="009C2138"/>
    <w:rsid w:val="009C7E4F"/>
    <w:rsid w:val="009D5370"/>
    <w:rsid w:val="009D5516"/>
    <w:rsid w:val="009D635A"/>
    <w:rsid w:val="009D66DE"/>
    <w:rsid w:val="009E177A"/>
    <w:rsid w:val="009E1E74"/>
    <w:rsid w:val="009E666D"/>
    <w:rsid w:val="009E7AF2"/>
    <w:rsid w:val="009F07C7"/>
    <w:rsid w:val="009F0EDF"/>
    <w:rsid w:val="009F383C"/>
    <w:rsid w:val="009F52D4"/>
    <w:rsid w:val="009F577C"/>
    <w:rsid w:val="009F7755"/>
    <w:rsid w:val="009F7B0C"/>
    <w:rsid w:val="00A010D0"/>
    <w:rsid w:val="00A0539B"/>
    <w:rsid w:val="00A06B9B"/>
    <w:rsid w:val="00A10E8F"/>
    <w:rsid w:val="00A1199D"/>
    <w:rsid w:val="00A120D5"/>
    <w:rsid w:val="00A140D0"/>
    <w:rsid w:val="00A15081"/>
    <w:rsid w:val="00A15468"/>
    <w:rsid w:val="00A17A62"/>
    <w:rsid w:val="00A17DA4"/>
    <w:rsid w:val="00A2036D"/>
    <w:rsid w:val="00A309FC"/>
    <w:rsid w:val="00A3115E"/>
    <w:rsid w:val="00A32140"/>
    <w:rsid w:val="00A32943"/>
    <w:rsid w:val="00A361FB"/>
    <w:rsid w:val="00A36C91"/>
    <w:rsid w:val="00A438B5"/>
    <w:rsid w:val="00A537A7"/>
    <w:rsid w:val="00A542DE"/>
    <w:rsid w:val="00A557A1"/>
    <w:rsid w:val="00A601A3"/>
    <w:rsid w:val="00A63472"/>
    <w:rsid w:val="00A66064"/>
    <w:rsid w:val="00A66DCD"/>
    <w:rsid w:val="00A7053B"/>
    <w:rsid w:val="00A727AA"/>
    <w:rsid w:val="00A72DD7"/>
    <w:rsid w:val="00A73D2F"/>
    <w:rsid w:val="00A76D41"/>
    <w:rsid w:val="00A80E3F"/>
    <w:rsid w:val="00A8206C"/>
    <w:rsid w:val="00A85D6C"/>
    <w:rsid w:val="00A85E70"/>
    <w:rsid w:val="00A93A46"/>
    <w:rsid w:val="00A95CD6"/>
    <w:rsid w:val="00A96E15"/>
    <w:rsid w:val="00AA33CC"/>
    <w:rsid w:val="00AA3F14"/>
    <w:rsid w:val="00AA5B90"/>
    <w:rsid w:val="00AA619E"/>
    <w:rsid w:val="00AB16CA"/>
    <w:rsid w:val="00AB204B"/>
    <w:rsid w:val="00AB3BED"/>
    <w:rsid w:val="00AB4E1A"/>
    <w:rsid w:val="00AB52BB"/>
    <w:rsid w:val="00AB5455"/>
    <w:rsid w:val="00AB585E"/>
    <w:rsid w:val="00AB63D3"/>
    <w:rsid w:val="00AB6A7A"/>
    <w:rsid w:val="00AD5562"/>
    <w:rsid w:val="00AD603D"/>
    <w:rsid w:val="00AD6813"/>
    <w:rsid w:val="00AE607A"/>
    <w:rsid w:val="00AE7BE3"/>
    <w:rsid w:val="00AF0E49"/>
    <w:rsid w:val="00AF14B0"/>
    <w:rsid w:val="00AF31A0"/>
    <w:rsid w:val="00AF6C35"/>
    <w:rsid w:val="00B025B4"/>
    <w:rsid w:val="00B0287A"/>
    <w:rsid w:val="00B03CC5"/>
    <w:rsid w:val="00B06B10"/>
    <w:rsid w:val="00B10261"/>
    <w:rsid w:val="00B123CB"/>
    <w:rsid w:val="00B12530"/>
    <w:rsid w:val="00B15A47"/>
    <w:rsid w:val="00B16611"/>
    <w:rsid w:val="00B219F7"/>
    <w:rsid w:val="00B21FEB"/>
    <w:rsid w:val="00B22366"/>
    <w:rsid w:val="00B22B2E"/>
    <w:rsid w:val="00B257DF"/>
    <w:rsid w:val="00B25B49"/>
    <w:rsid w:val="00B26A2D"/>
    <w:rsid w:val="00B303CD"/>
    <w:rsid w:val="00B33171"/>
    <w:rsid w:val="00B33946"/>
    <w:rsid w:val="00B33DF4"/>
    <w:rsid w:val="00B34CA5"/>
    <w:rsid w:val="00B36D4E"/>
    <w:rsid w:val="00B3714C"/>
    <w:rsid w:val="00B41864"/>
    <w:rsid w:val="00B44D53"/>
    <w:rsid w:val="00B45DF9"/>
    <w:rsid w:val="00B45E1C"/>
    <w:rsid w:val="00B45E5E"/>
    <w:rsid w:val="00B45F53"/>
    <w:rsid w:val="00B4663B"/>
    <w:rsid w:val="00B46918"/>
    <w:rsid w:val="00B47FBE"/>
    <w:rsid w:val="00B51A81"/>
    <w:rsid w:val="00B51AF7"/>
    <w:rsid w:val="00B615CE"/>
    <w:rsid w:val="00B61A49"/>
    <w:rsid w:val="00B66F96"/>
    <w:rsid w:val="00B67D36"/>
    <w:rsid w:val="00B70D7B"/>
    <w:rsid w:val="00B70DAF"/>
    <w:rsid w:val="00B71303"/>
    <w:rsid w:val="00B749C4"/>
    <w:rsid w:val="00B76B5E"/>
    <w:rsid w:val="00B80123"/>
    <w:rsid w:val="00B809DA"/>
    <w:rsid w:val="00B82092"/>
    <w:rsid w:val="00B824A2"/>
    <w:rsid w:val="00B8274F"/>
    <w:rsid w:val="00B83B6A"/>
    <w:rsid w:val="00B86E0E"/>
    <w:rsid w:val="00B87A25"/>
    <w:rsid w:val="00B87DBC"/>
    <w:rsid w:val="00B90846"/>
    <w:rsid w:val="00B95B02"/>
    <w:rsid w:val="00B96F26"/>
    <w:rsid w:val="00BA05E9"/>
    <w:rsid w:val="00BA08D7"/>
    <w:rsid w:val="00BA350D"/>
    <w:rsid w:val="00BB06BB"/>
    <w:rsid w:val="00BB227F"/>
    <w:rsid w:val="00BB2755"/>
    <w:rsid w:val="00BB336E"/>
    <w:rsid w:val="00BB3BA0"/>
    <w:rsid w:val="00BB3C18"/>
    <w:rsid w:val="00BB4677"/>
    <w:rsid w:val="00BB507C"/>
    <w:rsid w:val="00BB5E6D"/>
    <w:rsid w:val="00BC12A7"/>
    <w:rsid w:val="00BC18BA"/>
    <w:rsid w:val="00BC221D"/>
    <w:rsid w:val="00BC4F52"/>
    <w:rsid w:val="00BC55FE"/>
    <w:rsid w:val="00BD03EB"/>
    <w:rsid w:val="00BD213D"/>
    <w:rsid w:val="00BD5AE2"/>
    <w:rsid w:val="00BD70A2"/>
    <w:rsid w:val="00BE01F1"/>
    <w:rsid w:val="00BE0608"/>
    <w:rsid w:val="00BE1036"/>
    <w:rsid w:val="00BE3D16"/>
    <w:rsid w:val="00BF5AF5"/>
    <w:rsid w:val="00C010EB"/>
    <w:rsid w:val="00C02E40"/>
    <w:rsid w:val="00C0354A"/>
    <w:rsid w:val="00C03C01"/>
    <w:rsid w:val="00C04DD9"/>
    <w:rsid w:val="00C074A8"/>
    <w:rsid w:val="00C14080"/>
    <w:rsid w:val="00C14B8C"/>
    <w:rsid w:val="00C14DB4"/>
    <w:rsid w:val="00C1513A"/>
    <w:rsid w:val="00C15DBA"/>
    <w:rsid w:val="00C16CA5"/>
    <w:rsid w:val="00C217C5"/>
    <w:rsid w:val="00C26406"/>
    <w:rsid w:val="00C265B5"/>
    <w:rsid w:val="00C26930"/>
    <w:rsid w:val="00C26C07"/>
    <w:rsid w:val="00C30281"/>
    <w:rsid w:val="00C327D2"/>
    <w:rsid w:val="00C33A49"/>
    <w:rsid w:val="00C34963"/>
    <w:rsid w:val="00C34F34"/>
    <w:rsid w:val="00C40F71"/>
    <w:rsid w:val="00C4175C"/>
    <w:rsid w:val="00C41C11"/>
    <w:rsid w:val="00C4330F"/>
    <w:rsid w:val="00C47A72"/>
    <w:rsid w:val="00C5029C"/>
    <w:rsid w:val="00C507CC"/>
    <w:rsid w:val="00C508A8"/>
    <w:rsid w:val="00C5448E"/>
    <w:rsid w:val="00C65B88"/>
    <w:rsid w:val="00C66713"/>
    <w:rsid w:val="00C672A7"/>
    <w:rsid w:val="00C67995"/>
    <w:rsid w:val="00C67AD7"/>
    <w:rsid w:val="00C70E28"/>
    <w:rsid w:val="00C70FD5"/>
    <w:rsid w:val="00C735A0"/>
    <w:rsid w:val="00C73EC0"/>
    <w:rsid w:val="00C7431E"/>
    <w:rsid w:val="00C756ED"/>
    <w:rsid w:val="00C813DB"/>
    <w:rsid w:val="00C8176E"/>
    <w:rsid w:val="00C84E6A"/>
    <w:rsid w:val="00C90098"/>
    <w:rsid w:val="00C905BD"/>
    <w:rsid w:val="00C90C75"/>
    <w:rsid w:val="00C92DA9"/>
    <w:rsid w:val="00C957A1"/>
    <w:rsid w:val="00C9642D"/>
    <w:rsid w:val="00CA13F8"/>
    <w:rsid w:val="00CA2742"/>
    <w:rsid w:val="00CA3258"/>
    <w:rsid w:val="00CA55D9"/>
    <w:rsid w:val="00CA6DB3"/>
    <w:rsid w:val="00CA71FF"/>
    <w:rsid w:val="00CB08D1"/>
    <w:rsid w:val="00CB1F90"/>
    <w:rsid w:val="00CB49B0"/>
    <w:rsid w:val="00CB74E9"/>
    <w:rsid w:val="00CB796F"/>
    <w:rsid w:val="00CC5819"/>
    <w:rsid w:val="00CC5E5C"/>
    <w:rsid w:val="00CC6C05"/>
    <w:rsid w:val="00CC75D2"/>
    <w:rsid w:val="00CD01C2"/>
    <w:rsid w:val="00CD1255"/>
    <w:rsid w:val="00CD184E"/>
    <w:rsid w:val="00CD2006"/>
    <w:rsid w:val="00CD2D86"/>
    <w:rsid w:val="00CD4F8F"/>
    <w:rsid w:val="00CD65A8"/>
    <w:rsid w:val="00CE2727"/>
    <w:rsid w:val="00CE3054"/>
    <w:rsid w:val="00CE7247"/>
    <w:rsid w:val="00CF002E"/>
    <w:rsid w:val="00CF23A9"/>
    <w:rsid w:val="00CF3E82"/>
    <w:rsid w:val="00CF63EB"/>
    <w:rsid w:val="00CF68C9"/>
    <w:rsid w:val="00CF7954"/>
    <w:rsid w:val="00D00FCC"/>
    <w:rsid w:val="00D025A3"/>
    <w:rsid w:val="00D04093"/>
    <w:rsid w:val="00D049AD"/>
    <w:rsid w:val="00D04BAC"/>
    <w:rsid w:val="00D06376"/>
    <w:rsid w:val="00D06F82"/>
    <w:rsid w:val="00D0700E"/>
    <w:rsid w:val="00D11BFF"/>
    <w:rsid w:val="00D12425"/>
    <w:rsid w:val="00D14DA3"/>
    <w:rsid w:val="00D17F69"/>
    <w:rsid w:val="00D20555"/>
    <w:rsid w:val="00D27A9A"/>
    <w:rsid w:val="00D3059E"/>
    <w:rsid w:val="00D31BB8"/>
    <w:rsid w:val="00D36855"/>
    <w:rsid w:val="00D40D04"/>
    <w:rsid w:val="00D46B56"/>
    <w:rsid w:val="00D500EA"/>
    <w:rsid w:val="00D501C1"/>
    <w:rsid w:val="00D506B1"/>
    <w:rsid w:val="00D50C40"/>
    <w:rsid w:val="00D5198F"/>
    <w:rsid w:val="00D5308A"/>
    <w:rsid w:val="00D535E2"/>
    <w:rsid w:val="00D56DE9"/>
    <w:rsid w:val="00D621D8"/>
    <w:rsid w:val="00D62B9C"/>
    <w:rsid w:val="00D63D83"/>
    <w:rsid w:val="00D65366"/>
    <w:rsid w:val="00D65621"/>
    <w:rsid w:val="00D657C5"/>
    <w:rsid w:val="00D65BF8"/>
    <w:rsid w:val="00D662F4"/>
    <w:rsid w:val="00D67413"/>
    <w:rsid w:val="00D6757E"/>
    <w:rsid w:val="00D719F3"/>
    <w:rsid w:val="00D73778"/>
    <w:rsid w:val="00D7574A"/>
    <w:rsid w:val="00D7592E"/>
    <w:rsid w:val="00D761BE"/>
    <w:rsid w:val="00D76C3C"/>
    <w:rsid w:val="00D80D08"/>
    <w:rsid w:val="00D816DF"/>
    <w:rsid w:val="00D81E66"/>
    <w:rsid w:val="00D82CBD"/>
    <w:rsid w:val="00D84655"/>
    <w:rsid w:val="00D84675"/>
    <w:rsid w:val="00D850E1"/>
    <w:rsid w:val="00D86299"/>
    <w:rsid w:val="00D879E5"/>
    <w:rsid w:val="00D87B7B"/>
    <w:rsid w:val="00D90C71"/>
    <w:rsid w:val="00D917F4"/>
    <w:rsid w:val="00D9319F"/>
    <w:rsid w:val="00D9383A"/>
    <w:rsid w:val="00D93BE4"/>
    <w:rsid w:val="00D95041"/>
    <w:rsid w:val="00D953AC"/>
    <w:rsid w:val="00D97ABC"/>
    <w:rsid w:val="00DA09D2"/>
    <w:rsid w:val="00DA11A1"/>
    <w:rsid w:val="00DA1573"/>
    <w:rsid w:val="00DA3B77"/>
    <w:rsid w:val="00DA420E"/>
    <w:rsid w:val="00DA60C7"/>
    <w:rsid w:val="00DA6730"/>
    <w:rsid w:val="00DB0EC0"/>
    <w:rsid w:val="00DB0F0D"/>
    <w:rsid w:val="00DB1083"/>
    <w:rsid w:val="00DB6C92"/>
    <w:rsid w:val="00DB797F"/>
    <w:rsid w:val="00DB7FF5"/>
    <w:rsid w:val="00DC0907"/>
    <w:rsid w:val="00DC2C6F"/>
    <w:rsid w:val="00DC300B"/>
    <w:rsid w:val="00DC566A"/>
    <w:rsid w:val="00DC6B83"/>
    <w:rsid w:val="00DD32C3"/>
    <w:rsid w:val="00DE00A2"/>
    <w:rsid w:val="00DE1AD7"/>
    <w:rsid w:val="00DE4D24"/>
    <w:rsid w:val="00DE70FD"/>
    <w:rsid w:val="00DF11F1"/>
    <w:rsid w:val="00DF1F05"/>
    <w:rsid w:val="00DF370D"/>
    <w:rsid w:val="00DF5B54"/>
    <w:rsid w:val="00DF76CF"/>
    <w:rsid w:val="00DF7D10"/>
    <w:rsid w:val="00E01158"/>
    <w:rsid w:val="00E0295A"/>
    <w:rsid w:val="00E036D4"/>
    <w:rsid w:val="00E036DA"/>
    <w:rsid w:val="00E0484F"/>
    <w:rsid w:val="00E05E5E"/>
    <w:rsid w:val="00E11CDE"/>
    <w:rsid w:val="00E12FA9"/>
    <w:rsid w:val="00E13051"/>
    <w:rsid w:val="00E14D45"/>
    <w:rsid w:val="00E16269"/>
    <w:rsid w:val="00E16B43"/>
    <w:rsid w:val="00E200FF"/>
    <w:rsid w:val="00E22F36"/>
    <w:rsid w:val="00E23860"/>
    <w:rsid w:val="00E27D38"/>
    <w:rsid w:val="00E32BFF"/>
    <w:rsid w:val="00E32F47"/>
    <w:rsid w:val="00E34B66"/>
    <w:rsid w:val="00E35271"/>
    <w:rsid w:val="00E362F0"/>
    <w:rsid w:val="00E4262F"/>
    <w:rsid w:val="00E427A3"/>
    <w:rsid w:val="00E463FB"/>
    <w:rsid w:val="00E46B70"/>
    <w:rsid w:val="00E47B38"/>
    <w:rsid w:val="00E509A5"/>
    <w:rsid w:val="00E523AA"/>
    <w:rsid w:val="00E60EA3"/>
    <w:rsid w:val="00E64550"/>
    <w:rsid w:val="00E649CF"/>
    <w:rsid w:val="00E65A10"/>
    <w:rsid w:val="00E66E92"/>
    <w:rsid w:val="00E675F0"/>
    <w:rsid w:val="00E71B5B"/>
    <w:rsid w:val="00E74FF9"/>
    <w:rsid w:val="00E751D8"/>
    <w:rsid w:val="00E766A2"/>
    <w:rsid w:val="00E807A6"/>
    <w:rsid w:val="00E8111B"/>
    <w:rsid w:val="00E81299"/>
    <w:rsid w:val="00E81573"/>
    <w:rsid w:val="00E8160A"/>
    <w:rsid w:val="00E81F93"/>
    <w:rsid w:val="00E841E8"/>
    <w:rsid w:val="00E85D73"/>
    <w:rsid w:val="00E8649D"/>
    <w:rsid w:val="00EA0EB9"/>
    <w:rsid w:val="00EA1AD1"/>
    <w:rsid w:val="00EA1E76"/>
    <w:rsid w:val="00EA1FF6"/>
    <w:rsid w:val="00EA5914"/>
    <w:rsid w:val="00EB2E6F"/>
    <w:rsid w:val="00EB6A79"/>
    <w:rsid w:val="00EB7417"/>
    <w:rsid w:val="00EC574C"/>
    <w:rsid w:val="00EC6DB1"/>
    <w:rsid w:val="00EC7294"/>
    <w:rsid w:val="00EC7A76"/>
    <w:rsid w:val="00ED4B33"/>
    <w:rsid w:val="00ED6972"/>
    <w:rsid w:val="00ED7AA2"/>
    <w:rsid w:val="00EE0043"/>
    <w:rsid w:val="00EE3FBA"/>
    <w:rsid w:val="00EE5CC8"/>
    <w:rsid w:val="00EE6135"/>
    <w:rsid w:val="00EE75B9"/>
    <w:rsid w:val="00EF3503"/>
    <w:rsid w:val="00EF4470"/>
    <w:rsid w:val="00EF5717"/>
    <w:rsid w:val="00EF644F"/>
    <w:rsid w:val="00EF66DB"/>
    <w:rsid w:val="00F02088"/>
    <w:rsid w:val="00F02E1D"/>
    <w:rsid w:val="00F03E84"/>
    <w:rsid w:val="00F04786"/>
    <w:rsid w:val="00F103FB"/>
    <w:rsid w:val="00F1118C"/>
    <w:rsid w:val="00F120D8"/>
    <w:rsid w:val="00F1260A"/>
    <w:rsid w:val="00F143A4"/>
    <w:rsid w:val="00F17EEA"/>
    <w:rsid w:val="00F2268F"/>
    <w:rsid w:val="00F23A3C"/>
    <w:rsid w:val="00F23FC5"/>
    <w:rsid w:val="00F2625B"/>
    <w:rsid w:val="00F31AC9"/>
    <w:rsid w:val="00F32D3C"/>
    <w:rsid w:val="00F33986"/>
    <w:rsid w:val="00F33BFA"/>
    <w:rsid w:val="00F342BE"/>
    <w:rsid w:val="00F3689E"/>
    <w:rsid w:val="00F41825"/>
    <w:rsid w:val="00F429B1"/>
    <w:rsid w:val="00F43C43"/>
    <w:rsid w:val="00F43D92"/>
    <w:rsid w:val="00F447BC"/>
    <w:rsid w:val="00F478D1"/>
    <w:rsid w:val="00F50453"/>
    <w:rsid w:val="00F51750"/>
    <w:rsid w:val="00F54AA1"/>
    <w:rsid w:val="00F55C1B"/>
    <w:rsid w:val="00F6013F"/>
    <w:rsid w:val="00F64162"/>
    <w:rsid w:val="00F663AF"/>
    <w:rsid w:val="00F6720D"/>
    <w:rsid w:val="00F67AA1"/>
    <w:rsid w:val="00F71521"/>
    <w:rsid w:val="00F71FE4"/>
    <w:rsid w:val="00F7359B"/>
    <w:rsid w:val="00F73D81"/>
    <w:rsid w:val="00F73F40"/>
    <w:rsid w:val="00F82F4B"/>
    <w:rsid w:val="00F83352"/>
    <w:rsid w:val="00F8430E"/>
    <w:rsid w:val="00F85432"/>
    <w:rsid w:val="00F961A5"/>
    <w:rsid w:val="00F96E20"/>
    <w:rsid w:val="00FA1BA4"/>
    <w:rsid w:val="00FA3248"/>
    <w:rsid w:val="00FA3C8E"/>
    <w:rsid w:val="00FA47CB"/>
    <w:rsid w:val="00FA5210"/>
    <w:rsid w:val="00FA5F22"/>
    <w:rsid w:val="00FA6F03"/>
    <w:rsid w:val="00FA7821"/>
    <w:rsid w:val="00FB0CA3"/>
    <w:rsid w:val="00FB14D5"/>
    <w:rsid w:val="00FB1576"/>
    <w:rsid w:val="00FB27B9"/>
    <w:rsid w:val="00FB382E"/>
    <w:rsid w:val="00FB606B"/>
    <w:rsid w:val="00FB6BB4"/>
    <w:rsid w:val="00FC1141"/>
    <w:rsid w:val="00FC1660"/>
    <w:rsid w:val="00FC1736"/>
    <w:rsid w:val="00FC4A41"/>
    <w:rsid w:val="00FC5903"/>
    <w:rsid w:val="00FC67B8"/>
    <w:rsid w:val="00FD2FEE"/>
    <w:rsid w:val="00FD3458"/>
    <w:rsid w:val="00FD5C01"/>
    <w:rsid w:val="00FE5711"/>
    <w:rsid w:val="00FE5FD9"/>
    <w:rsid w:val="00FF1588"/>
    <w:rsid w:val="00FF1DE3"/>
    <w:rsid w:val="00FF3682"/>
    <w:rsid w:val="00FF46C4"/>
    <w:rsid w:val="00FF6088"/>
    <w:rsid w:val="00FF676A"/>
    <w:rsid w:val="01255985"/>
    <w:rsid w:val="014B0CCD"/>
    <w:rsid w:val="015965CD"/>
    <w:rsid w:val="016F7FFA"/>
    <w:rsid w:val="018A3D8E"/>
    <w:rsid w:val="019D73AC"/>
    <w:rsid w:val="02056D00"/>
    <w:rsid w:val="02353A89"/>
    <w:rsid w:val="02376702"/>
    <w:rsid w:val="024F1A2A"/>
    <w:rsid w:val="024F70D4"/>
    <w:rsid w:val="02E779B2"/>
    <w:rsid w:val="030A3C87"/>
    <w:rsid w:val="03282012"/>
    <w:rsid w:val="03507A04"/>
    <w:rsid w:val="03524ECD"/>
    <w:rsid w:val="035E00F3"/>
    <w:rsid w:val="037615E9"/>
    <w:rsid w:val="03895A2A"/>
    <w:rsid w:val="03C37426"/>
    <w:rsid w:val="04AC0EC3"/>
    <w:rsid w:val="04BC5AAD"/>
    <w:rsid w:val="04C91D27"/>
    <w:rsid w:val="052F7EF9"/>
    <w:rsid w:val="05875EEC"/>
    <w:rsid w:val="05906F18"/>
    <w:rsid w:val="05947574"/>
    <w:rsid w:val="05A32B8E"/>
    <w:rsid w:val="05CE1A03"/>
    <w:rsid w:val="05DA5F71"/>
    <w:rsid w:val="05E579CF"/>
    <w:rsid w:val="05F75263"/>
    <w:rsid w:val="061D53C2"/>
    <w:rsid w:val="06303F70"/>
    <w:rsid w:val="06365F37"/>
    <w:rsid w:val="06504ABD"/>
    <w:rsid w:val="0652361F"/>
    <w:rsid w:val="068B741B"/>
    <w:rsid w:val="06911D10"/>
    <w:rsid w:val="06E10A04"/>
    <w:rsid w:val="070816A4"/>
    <w:rsid w:val="0719250D"/>
    <w:rsid w:val="071A1516"/>
    <w:rsid w:val="077729FD"/>
    <w:rsid w:val="078D5C29"/>
    <w:rsid w:val="07BF60D4"/>
    <w:rsid w:val="083C3717"/>
    <w:rsid w:val="085671B5"/>
    <w:rsid w:val="0890799B"/>
    <w:rsid w:val="089E455D"/>
    <w:rsid w:val="08A704C6"/>
    <w:rsid w:val="08CF100E"/>
    <w:rsid w:val="08E61951"/>
    <w:rsid w:val="09166530"/>
    <w:rsid w:val="09691781"/>
    <w:rsid w:val="097E134E"/>
    <w:rsid w:val="09A14B78"/>
    <w:rsid w:val="09C93D1D"/>
    <w:rsid w:val="0A003397"/>
    <w:rsid w:val="0A264205"/>
    <w:rsid w:val="0A895661"/>
    <w:rsid w:val="0AA32FE2"/>
    <w:rsid w:val="0B5010E9"/>
    <w:rsid w:val="0B515AB7"/>
    <w:rsid w:val="0B691AFC"/>
    <w:rsid w:val="0BD664C2"/>
    <w:rsid w:val="0BFC06F1"/>
    <w:rsid w:val="0C423F21"/>
    <w:rsid w:val="0C934FF0"/>
    <w:rsid w:val="0CA02CE9"/>
    <w:rsid w:val="0CBB41B4"/>
    <w:rsid w:val="0D275208"/>
    <w:rsid w:val="0D4C5E38"/>
    <w:rsid w:val="0D5A3541"/>
    <w:rsid w:val="0D874D6C"/>
    <w:rsid w:val="0DAF3F20"/>
    <w:rsid w:val="0DB83744"/>
    <w:rsid w:val="0DBE6B5A"/>
    <w:rsid w:val="0E375E44"/>
    <w:rsid w:val="0E5F4E34"/>
    <w:rsid w:val="0EF831A6"/>
    <w:rsid w:val="0F751CE4"/>
    <w:rsid w:val="0F9164DA"/>
    <w:rsid w:val="0FEB39D9"/>
    <w:rsid w:val="101C1A6F"/>
    <w:rsid w:val="107B3CDC"/>
    <w:rsid w:val="10D9076B"/>
    <w:rsid w:val="10DF4EFB"/>
    <w:rsid w:val="1104613C"/>
    <w:rsid w:val="12757792"/>
    <w:rsid w:val="12894646"/>
    <w:rsid w:val="12AA7207"/>
    <w:rsid w:val="12C12CBB"/>
    <w:rsid w:val="12ED374D"/>
    <w:rsid w:val="13000F97"/>
    <w:rsid w:val="131D2FB3"/>
    <w:rsid w:val="132A0476"/>
    <w:rsid w:val="13402E21"/>
    <w:rsid w:val="13586CAC"/>
    <w:rsid w:val="147517F7"/>
    <w:rsid w:val="149E09A0"/>
    <w:rsid w:val="14E25104"/>
    <w:rsid w:val="14E747F6"/>
    <w:rsid w:val="15044CC0"/>
    <w:rsid w:val="154C5E55"/>
    <w:rsid w:val="1563172E"/>
    <w:rsid w:val="157F0146"/>
    <w:rsid w:val="159422B9"/>
    <w:rsid w:val="15F17829"/>
    <w:rsid w:val="16263977"/>
    <w:rsid w:val="163D44F0"/>
    <w:rsid w:val="164678D8"/>
    <w:rsid w:val="16B739DE"/>
    <w:rsid w:val="16BF0648"/>
    <w:rsid w:val="16F50EE4"/>
    <w:rsid w:val="175E0F34"/>
    <w:rsid w:val="177C0341"/>
    <w:rsid w:val="181636CE"/>
    <w:rsid w:val="1833259B"/>
    <w:rsid w:val="183C4E6A"/>
    <w:rsid w:val="18606B26"/>
    <w:rsid w:val="18771087"/>
    <w:rsid w:val="18B254E3"/>
    <w:rsid w:val="1940130D"/>
    <w:rsid w:val="19495C0E"/>
    <w:rsid w:val="19C264EE"/>
    <w:rsid w:val="1A1B6556"/>
    <w:rsid w:val="1A2450C3"/>
    <w:rsid w:val="1A31697C"/>
    <w:rsid w:val="1AED5436"/>
    <w:rsid w:val="1B3B646B"/>
    <w:rsid w:val="1B9A7DC0"/>
    <w:rsid w:val="1BAC314D"/>
    <w:rsid w:val="1BC078D4"/>
    <w:rsid w:val="1CE2358D"/>
    <w:rsid w:val="1DCF2A59"/>
    <w:rsid w:val="1DE072EA"/>
    <w:rsid w:val="1E784F37"/>
    <w:rsid w:val="1F285149"/>
    <w:rsid w:val="1F9640C3"/>
    <w:rsid w:val="1FE4765E"/>
    <w:rsid w:val="2020471F"/>
    <w:rsid w:val="2032477E"/>
    <w:rsid w:val="205E0275"/>
    <w:rsid w:val="206D47F6"/>
    <w:rsid w:val="20757FD9"/>
    <w:rsid w:val="20A6586D"/>
    <w:rsid w:val="20B91388"/>
    <w:rsid w:val="20F35E1C"/>
    <w:rsid w:val="21760A3A"/>
    <w:rsid w:val="21A41C38"/>
    <w:rsid w:val="21C63A57"/>
    <w:rsid w:val="21C94F51"/>
    <w:rsid w:val="21F50F01"/>
    <w:rsid w:val="22CB4985"/>
    <w:rsid w:val="22F905C8"/>
    <w:rsid w:val="237A0436"/>
    <w:rsid w:val="24580844"/>
    <w:rsid w:val="24865DE1"/>
    <w:rsid w:val="249B4427"/>
    <w:rsid w:val="24EE4176"/>
    <w:rsid w:val="25122D19"/>
    <w:rsid w:val="25572897"/>
    <w:rsid w:val="256B734F"/>
    <w:rsid w:val="25B5769E"/>
    <w:rsid w:val="264E2FB7"/>
    <w:rsid w:val="267E0592"/>
    <w:rsid w:val="26920A99"/>
    <w:rsid w:val="269F157D"/>
    <w:rsid w:val="26B15F3A"/>
    <w:rsid w:val="271A6243"/>
    <w:rsid w:val="27291DCA"/>
    <w:rsid w:val="27597FE1"/>
    <w:rsid w:val="27981604"/>
    <w:rsid w:val="27CA28BC"/>
    <w:rsid w:val="27D663E5"/>
    <w:rsid w:val="28342379"/>
    <w:rsid w:val="287F4095"/>
    <w:rsid w:val="28E559AF"/>
    <w:rsid w:val="28F365E8"/>
    <w:rsid w:val="29017174"/>
    <w:rsid w:val="293B22F3"/>
    <w:rsid w:val="297717B4"/>
    <w:rsid w:val="29906CA4"/>
    <w:rsid w:val="29DE7BE6"/>
    <w:rsid w:val="2A2173D0"/>
    <w:rsid w:val="2A284418"/>
    <w:rsid w:val="2A836094"/>
    <w:rsid w:val="2ACD1468"/>
    <w:rsid w:val="2B243EAA"/>
    <w:rsid w:val="2B9A50BF"/>
    <w:rsid w:val="2BC66485"/>
    <w:rsid w:val="2BE73304"/>
    <w:rsid w:val="2C19319F"/>
    <w:rsid w:val="2C5B6296"/>
    <w:rsid w:val="2C5C48FB"/>
    <w:rsid w:val="2C633BE7"/>
    <w:rsid w:val="2CA44725"/>
    <w:rsid w:val="2CDC0A8E"/>
    <w:rsid w:val="2CF360C2"/>
    <w:rsid w:val="2D0A3BFE"/>
    <w:rsid w:val="2D335104"/>
    <w:rsid w:val="2D3D7D24"/>
    <w:rsid w:val="2D556F15"/>
    <w:rsid w:val="2D561FE4"/>
    <w:rsid w:val="2D7D61A2"/>
    <w:rsid w:val="2D864280"/>
    <w:rsid w:val="2DFD3CC5"/>
    <w:rsid w:val="2E202E63"/>
    <w:rsid w:val="2E281E89"/>
    <w:rsid w:val="2E4C5FC1"/>
    <w:rsid w:val="2E632939"/>
    <w:rsid w:val="2E7A715E"/>
    <w:rsid w:val="2EC36D23"/>
    <w:rsid w:val="2F51428E"/>
    <w:rsid w:val="2F754DDC"/>
    <w:rsid w:val="2F7A6CA8"/>
    <w:rsid w:val="2F956C6A"/>
    <w:rsid w:val="2FC7276F"/>
    <w:rsid w:val="2FFD44C1"/>
    <w:rsid w:val="3010550B"/>
    <w:rsid w:val="30224CFF"/>
    <w:rsid w:val="30291F32"/>
    <w:rsid w:val="30371414"/>
    <w:rsid w:val="30D00479"/>
    <w:rsid w:val="30D91506"/>
    <w:rsid w:val="31796760"/>
    <w:rsid w:val="31800DCC"/>
    <w:rsid w:val="31AB2B70"/>
    <w:rsid w:val="320476AE"/>
    <w:rsid w:val="323D0077"/>
    <w:rsid w:val="323F4408"/>
    <w:rsid w:val="32AC30AD"/>
    <w:rsid w:val="32CE1D14"/>
    <w:rsid w:val="335F1727"/>
    <w:rsid w:val="337012E4"/>
    <w:rsid w:val="337F6370"/>
    <w:rsid w:val="34631FE2"/>
    <w:rsid w:val="349E094A"/>
    <w:rsid w:val="34EB114C"/>
    <w:rsid w:val="36164F98"/>
    <w:rsid w:val="36205F23"/>
    <w:rsid w:val="36E52DFA"/>
    <w:rsid w:val="36FA0940"/>
    <w:rsid w:val="370D32F5"/>
    <w:rsid w:val="3715799B"/>
    <w:rsid w:val="3755521E"/>
    <w:rsid w:val="37932B39"/>
    <w:rsid w:val="37A36102"/>
    <w:rsid w:val="37AB15B2"/>
    <w:rsid w:val="38214228"/>
    <w:rsid w:val="38256FBC"/>
    <w:rsid w:val="385F4E0E"/>
    <w:rsid w:val="398305ED"/>
    <w:rsid w:val="39963E59"/>
    <w:rsid w:val="39DA3C87"/>
    <w:rsid w:val="39F24E13"/>
    <w:rsid w:val="39F75D60"/>
    <w:rsid w:val="3A6B41B5"/>
    <w:rsid w:val="3A9055C2"/>
    <w:rsid w:val="3AAA1AFB"/>
    <w:rsid w:val="3AFB5639"/>
    <w:rsid w:val="3B2B1A76"/>
    <w:rsid w:val="3B411178"/>
    <w:rsid w:val="3B471E8D"/>
    <w:rsid w:val="3B610221"/>
    <w:rsid w:val="3B7A6365"/>
    <w:rsid w:val="3B8B0E52"/>
    <w:rsid w:val="3B8C0720"/>
    <w:rsid w:val="3BA9426F"/>
    <w:rsid w:val="3C3704FA"/>
    <w:rsid w:val="3CA81728"/>
    <w:rsid w:val="3CBC2AA4"/>
    <w:rsid w:val="3D307F42"/>
    <w:rsid w:val="3D8C33AC"/>
    <w:rsid w:val="3DCF56C0"/>
    <w:rsid w:val="3DF30EFA"/>
    <w:rsid w:val="3ECC77BE"/>
    <w:rsid w:val="3EDB0BD3"/>
    <w:rsid w:val="3EEA6528"/>
    <w:rsid w:val="3F521434"/>
    <w:rsid w:val="3F553838"/>
    <w:rsid w:val="3FC06B65"/>
    <w:rsid w:val="3FCB3B38"/>
    <w:rsid w:val="3FD6312B"/>
    <w:rsid w:val="3FED549C"/>
    <w:rsid w:val="3FEF590C"/>
    <w:rsid w:val="40070BD3"/>
    <w:rsid w:val="400C5D7E"/>
    <w:rsid w:val="40127762"/>
    <w:rsid w:val="40C520C0"/>
    <w:rsid w:val="40CD1DF9"/>
    <w:rsid w:val="41860D93"/>
    <w:rsid w:val="424B2C0B"/>
    <w:rsid w:val="42DC3BC7"/>
    <w:rsid w:val="42F232D2"/>
    <w:rsid w:val="43C01C2F"/>
    <w:rsid w:val="43D16466"/>
    <w:rsid w:val="441E4A2C"/>
    <w:rsid w:val="44210D19"/>
    <w:rsid w:val="44234241"/>
    <w:rsid w:val="444D273A"/>
    <w:rsid w:val="447853E8"/>
    <w:rsid w:val="45216F7A"/>
    <w:rsid w:val="454328E6"/>
    <w:rsid w:val="45A442C6"/>
    <w:rsid w:val="45AE77D7"/>
    <w:rsid w:val="45C52F6A"/>
    <w:rsid w:val="45F10FD3"/>
    <w:rsid w:val="460933BA"/>
    <w:rsid w:val="46236292"/>
    <w:rsid w:val="462772E3"/>
    <w:rsid w:val="46684451"/>
    <w:rsid w:val="466B05FB"/>
    <w:rsid w:val="46711B09"/>
    <w:rsid w:val="46BF6851"/>
    <w:rsid w:val="46D8138C"/>
    <w:rsid w:val="46E24E1A"/>
    <w:rsid w:val="47311BC1"/>
    <w:rsid w:val="475A37B4"/>
    <w:rsid w:val="478F466E"/>
    <w:rsid w:val="47B43362"/>
    <w:rsid w:val="48273810"/>
    <w:rsid w:val="4888158F"/>
    <w:rsid w:val="48914576"/>
    <w:rsid w:val="48964443"/>
    <w:rsid w:val="48FE71F1"/>
    <w:rsid w:val="49141E94"/>
    <w:rsid w:val="49263A74"/>
    <w:rsid w:val="4933035D"/>
    <w:rsid w:val="49675828"/>
    <w:rsid w:val="49F10CA2"/>
    <w:rsid w:val="49F62C3B"/>
    <w:rsid w:val="4A423DD8"/>
    <w:rsid w:val="4A435BE4"/>
    <w:rsid w:val="4AC61415"/>
    <w:rsid w:val="4AF84465"/>
    <w:rsid w:val="4B7E7E4A"/>
    <w:rsid w:val="4C0904B7"/>
    <w:rsid w:val="4C826963"/>
    <w:rsid w:val="4CB24C97"/>
    <w:rsid w:val="4CC01869"/>
    <w:rsid w:val="4D4448B5"/>
    <w:rsid w:val="4D770E05"/>
    <w:rsid w:val="4DD5560E"/>
    <w:rsid w:val="4DFB3BD7"/>
    <w:rsid w:val="4E0429E1"/>
    <w:rsid w:val="4E215EDB"/>
    <w:rsid w:val="4E22165A"/>
    <w:rsid w:val="4E3376D6"/>
    <w:rsid w:val="4E577DA0"/>
    <w:rsid w:val="4E654335"/>
    <w:rsid w:val="4EAC11EA"/>
    <w:rsid w:val="4F533ABC"/>
    <w:rsid w:val="4FC0256A"/>
    <w:rsid w:val="4FFA16EA"/>
    <w:rsid w:val="5055529B"/>
    <w:rsid w:val="50D91050"/>
    <w:rsid w:val="50FF5EED"/>
    <w:rsid w:val="51074D80"/>
    <w:rsid w:val="513070C9"/>
    <w:rsid w:val="51E666F1"/>
    <w:rsid w:val="52C60251"/>
    <w:rsid w:val="53255C71"/>
    <w:rsid w:val="5332161C"/>
    <w:rsid w:val="53486EC6"/>
    <w:rsid w:val="53C05599"/>
    <w:rsid w:val="54263248"/>
    <w:rsid w:val="544371DA"/>
    <w:rsid w:val="54734CAD"/>
    <w:rsid w:val="5479134D"/>
    <w:rsid w:val="54EE31D6"/>
    <w:rsid w:val="55146415"/>
    <w:rsid w:val="551B4170"/>
    <w:rsid w:val="55342CF9"/>
    <w:rsid w:val="55566FEB"/>
    <w:rsid w:val="55791E43"/>
    <w:rsid w:val="557E1D51"/>
    <w:rsid w:val="55A751A8"/>
    <w:rsid w:val="55DF0519"/>
    <w:rsid w:val="5636478D"/>
    <w:rsid w:val="564A68CB"/>
    <w:rsid w:val="564B57E1"/>
    <w:rsid w:val="56C76E00"/>
    <w:rsid w:val="56F065AF"/>
    <w:rsid w:val="570860F3"/>
    <w:rsid w:val="5711575E"/>
    <w:rsid w:val="571D1D96"/>
    <w:rsid w:val="57515FD7"/>
    <w:rsid w:val="576D523F"/>
    <w:rsid w:val="57E12326"/>
    <w:rsid w:val="57E74053"/>
    <w:rsid w:val="58182A69"/>
    <w:rsid w:val="58481029"/>
    <w:rsid w:val="58551346"/>
    <w:rsid w:val="58773241"/>
    <w:rsid w:val="588E6474"/>
    <w:rsid w:val="58D565A1"/>
    <w:rsid w:val="58DA234D"/>
    <w:rsid w:val="58F60851"/>
    <w:rsid w:val="58FA5C29"/>
    <w:rsid w:val="598A60AF"/>
    <w:rsid w:val="59DF609C"/>
    <w:rsid w:val="5A14111A"/>
    <w:rsid w:val="5A5B291D"/>
    <w:rsid w:val="5AB442DD"/>
    <w:rsid w:val="5ABA1032"/>
    <w:rsid w:val="5AE149A0"/>
    <w:rsid w:val="5B4F3E4D"/>
    <w:rsid w:val="5B5A091A"/>
    <w:rsid w:val="5BB75C89"/>
    <w:rsid w:val="5BF225AA"/>
    <w:rsid w:val="5BFD4483"/>
    <w:rsid w:val="5C3E15EF"/>
    <w:rsid w:val="5C5E4BBF"/>
    <w:rsid w:val="5D4B5D6E"/>
    <w:rsid w:val="5DED5BA4"/>
    <w:rsid w:val="5E065D4B"/>
    <w:rsid w:val="5E337653"/>
    <w:rsid w:val="5E3D3D68"/>
    <w:rsid w:val="5E47526E"/>
    <w:rsid w:val="5E646815"/>
    <w:rsid w:val="5E772B86"/>
    <w:rsid w:val="5E8D76A9"/>
    <w:rsid w:val="5F1068C0"/>
    <w:rsid w:val="5F6E4D28"/>
    <w:rsid w:val="5F936D4C"/>
    <w:rsid w:val="5FA37488"/>
    <w:rsid w:val="5FD52639"/>
    <w:rsid w:val="5FE73E6D"/>
    <w:rsid w:val="5FFF219E"/>
    <w:rsid w:val="60153639"/>
    <w:rsid w:val="601B345D"/>
    <w:rsid w:val="60322300"/>
    <w:rsid w:val="60433922"/>
    <w:rsid w:val="60853275"/>
    <w:rsid w:val="609C6E55"/>
    <w:rsid w:val="60B07A39"/>
    <w:rsid w:val="6146363C"/>
    <w:rsid w:val="614B2AB5"/>
    <w:rsid w:val="615964BE"/>
    <w:rsid w:val="626313F7"/>
    <w:rsid w:val="627F1B75"/>
    <w:rsid w:val="629447C8"/>
    <w:rsid w:val="63092D1D"/>
    <w:rsid w:val="6316445E"/>
    <w:rsid w:val="638012E7"/>
    <w:rsid w:val="63806777"/>
    <w:rsid w:val="63873F4E"/>
    <w:rsid w:val="641658F2"/>
    <w:rsid w:val="643846A5"/>
    <w:rsid w:val="649B13BB"/>
    <w:rsid w:val="64E35BA2"/>
    <w:rsid w:val="64EA091A"/>
    <w:rsid w:val="6522595E"/>
    <w:rsid w:val="6577178F"/>
    <w:rsid w:val="65A80893"/>
    <w:rsid w:val="66263CB5"/>
    <w:rsid w:val="66600CEE"/>
    <w:rsid w:val="667E5E9D"/>
    <w:rsid w:val="66842763"/>
    <w:rsid w:val="668B029F"/>
    <w:rsid w:val="66C911E4"/>
    <w:rsid w:val="66E74D15"/>
    <w:rsid w:val="67511E04"/>
    <w:rsid w:val="67636069"/>
    <w:rsid w:val="677E6F8A"/>
    <w:rsid w:val="67B033B3"/>
    <w:rsid w:val="67D13888"/>
    <w:rsid w:val="684D7030"/>
    <w:rsid w:val="685206A3"/>
    <w:rsid w:val="68B5614B"/>
    <w:rsid w:val="69371B10"/>
    <w:rsid w:val="69917F55"/>
    <w:rsid w:val="6A1F6B5D"/>
    <w:rsid w:val="6A4B0471"/>
    <w:rsid w:val="6A5F1B77"/>
    <w:rsid w:val="6A6E5F0E"/>
    <w:rsid w:val="6A8E65B0"/>
    <w:rsid w:val="6AC74A04"/>
    <w:rsid w:val="6B074074"/>
    <w:rsid w:val="6B2924BA"/>
    <w:rsid w:val="6B343ACE"/>
    <w:rsid w:val="6B83149A"/>
    <w:rsid w:val="6BC5645F"/>
    <w:rsid w:val="6C285D64"/>
    <w:rsid w:val="6C9A4878"/>
    <w:rsid w:val="6CC028ED"/>
    <w:rsid w:val="6CD3775A"/>
    <w:rsid w:val="6D03020A"/>
    <w:rsid w:val="6D061EC9"/>
    <w:rsid w:val="6D294C1C"/>
    <w:rsid w:val="6D55435A"/>
    <w:rsid w:val="6D895A26"/>
    <w:rsid w:val="6E5379DD"/>
    <w:rsid w:val="6F586BEB"/>
    <w:rsid w:val="6F8107FA"/>
    <w:rsid w:val="6FBB18F4"/>
    <w:rsid w:val="6FC7462A"/>
    <w:rsid w:val="6FE92DFD"/>
    <w:rsid w:val="702A2E92"/>
    <w:rsid w:val="702C664F"/>
    <w:rsid w:val="704727D7"/>
    <w:rsid w:val="70982D0A"/>
    <w:rsid w:val="70BC4C41"/>
    <w:rsid w:val="71063070"/>
    <w:rsid w:val="71091D91"/>
    <w:rsid w:val="711A4B8A"/>
    <w:rsid w:val="71780C2C"/>
    <w:rsid w:val="71A63020"/>
    <w:rsid w:val="71D437F7"/>
    <w:rsid w:val="71EE06F6"/>
    <w:rsid w:val="7306117C"/>
    <w:rsid w:val="733923A1"/>
    <w:rsid w:val="73583914"/>
    <w:rsid w:val="73664C3F"/>
    <w:rsid w:val="737A4131"/>
    <w:rsid w:val="73BC17F9"/>
    <w:rsid w:val="73C87C79"/>
    <w:rsid w:val="73CD4350"/>
    <w:rsid w:val="740F3A79"/>
    <w:rsid w:val="74154070"/>
    <w:rsid w:val="743F6B64"/>
    <w:rsid w:val="746D36C8"/>
    <w:rsid w:val="74C0380A"/>
    <w:rsid w:val="74C66D78"/>
    <w:rsid w:val="750F4637"/>
    <w:rsid w:val="754C7BF7"/>
    <w:rsid w:val="75F31F9D"/>
    <w:rsid w:val="761B402F"/>
    <w:rsid w:val="768F0515"/>
    <w:rsid w:val="770D3261"/>
    <w:rsid w:val="771D3ED3"/>
    <w:rsid w:val="77CE2077"/>
    <w:rsid w:val="77D20543"/>
    <w:rsid w:val="77F04F99"/>
    <w:rsid w:val="788E6C7C"/>
    <w:rsid w:val="79023A57"/>
    <w:rsid w:val="792E5B8D"/>
    <w:rsid w:val="79B31626"/>
    <w:rsid w:val="79F96BD4"/>
    <w:rsid w:val="7B093ECD"/>
    <w:rsid w:val="7B136A39"/>
    <w:rsid w:val="7BAF770D"/>
    <w:rsid w:val="7BED3807"/>
    <w:rsid w:val="7CAF3F99"/>
    <w:rsid w:val="7CDC12F7"/>
    <w:rsid w:val="7D0B6A5D"/>
    <w:rsid w:val="7DD02C12"/>
    <w:rsid w:val="7E2D0CFE"/>
    <w:rsid w:val="7E81239A"/>
    <w:rsid w:val="7EC75972"/>
    <w:rsid w:val="7F0926BE"/>
    <w:rsid w:val="7F1C6AAB"/>
    <w:rsid w:val="7F42273A"/>
    <w:rsid w:val="7F467F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pacing w:val="10"/>
      <w:kern w:val="2"/>
      <w:sz w:val="24"/>
      <w:lang w:val="en-US" w:eastAsia="zh-CN" w:bidi="ar-SA"/>
    </w:rPr>
  </w:style>
  <w:style w:type="paragraph" w:styleId="3">
    <w:name w:val="heading 1"/>
    <w:basedOn w:val="1"/>
    <w:next w:val="1"/>
    <w:autoRedefine/>
    <w:qFormat/>
    <w:uiPriority w:val="9"/>
    <w:pPr>
      <w:spacing w:beforeAutospacing="1" w:afterAutospacing="1"/>
      <w:jc w:val="left"/>
      <w:outlineLvl w:val="0"/>
    </w:pPr>
    <w:rPr>
      <w:rFonts w:hint="eastAsia" w:ascii="宋体" w:hAnsi="宋体"/>
      <w:b/>
      <w:kern w:val="44"/>
      <w:sz w:val="48"/>
      <w:szCs w:val="48"/>
    </w:rPr>
  </w:style>
  <w:style w:type="character" w:default="1" w:styleId="20">
    <w:name w:val="Default Paragraph Font"/>
    <w:autoRedefine/>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pPr>
    <w:rPr>
      <w:szCs w:val="21"/>
    </w:rPr>
  </w:style>
  <w:style w:type="paragraph" w:styleId="4">
    <w:name w:val="table of authorities"/>
    <w:basedOn w:val="1"/>
    <w:next w:val="1"/>
    <w:unhideWhenUsed/>
    <w:qFormat/>
    <w:uiPriority w:val="0"/>
    <w:pPr>
      <w:spacing w:before="100" w:beforeAutospacing="1" w:after="100" w:afterAutospacing="1"/>
      <w:ind w:left="420" w:leftChars="200"/>
      <w:jc w:val="center"/>
    </w:pPr>
    <w:rPr>
      <w:sz w:val="28"/>
      <w:szCs w:val="28"/>
    </w:rPr>
  </w:style>
  <w:style w:type="paragraph" w:styleId="5">
    <w:name w:val="Normal Indent"/>
    <w:basedOn w:val="1"/>
    <w:link w:val="34"/>
    <w:qFormat/>
    <w:uiPriority w:val="0"/>
    <w:pPr>
      <w:ind w:firstLine="420" w:firstLineChars="200"/>
    </w:pPr>
  </w:style>
  <w:style w:type="paragraph" w:styleId="6">
    <w:name w:val="annotation text"/>
    <w:basedOn w:val="1"/>
    <w:semiHidden/>
    <w:unhideWhenUsed/>
    <w:qFormat/>
    <w:uiPriority w:val="99"/>
    <w:pPr>
      <w:jc w:val="left"/>
    </w:pPr>
  </w:style>
  <w:style w:type="paragraph" w:styleId="7">
    <w:name w:val="Body Text"/>
    <w:basedOn w:val="1"/>
    <w:link w:val="44"/>
    <w:qFormat/>
    <w:uiPriority w:val="0"/>
    <w:pPr>
      <w:spacing w:after="120"/>
    </w:pPr>
  </w:style>
  <w:style w:type="paragraph" w:styleId="8">
    <w:name w:val="Body Text Indent"/>
    <w:basedOn w:val="1"/>
    <w:link w:val="33"/>
    <w:qFormat/>
    <w:uiPriority w:val="0"/>
    <w:pPr>
      <w:ind w:left="1110"/>
    </w:pPr>
    <w:rPr>
      <w:spacing w:val="0"/>
      <w:sz w:val="28"/>
    </w:rPr>
  </w:style>
  <w:style w:type="paragraph" w:styleId="9">
    <w:name w:val="Plain Text"/>
    <w:basedOn w:val="1"/>
    <w:link w:val="31"/>
    <w:qFormat/>
    <w:uiPriority w:val="99"/>
    <w:pPr>
      <w:autoSpaceDE w:val="0"/>
      <w:autoSpaceDN w:val="0"/>
      <w:adjustRightInd w:val="0"/>
      <w:spacing w:line="312" w:lineRule="atLeast"/>
      <w:textAlignment w:val="baseline"/>
    </w:pPr>
    <w:rPr>
      <w:rFonts w:ascii="Courier New" w:hAnsi="Courier New" w:eastAsiaTheme="minorEastAsia" w:cstheme="minorBidi"/>
      <w:spacing w:val="0"/>
      <w:sz w:val="21"/>
      <w:szCs w:val="22"/>
    </w:rPr>
  </w:style>
  <w:style w:type="paragraph" w:styleId="10">
    <w:name w:val="Date"/>
    <w:basedOn w:val="1"/>
    <w:next w:val="1"/>
    <w:link w:val="36"/>
    <w:qFormat/>
    <w:uiPriority w:val="0"/>
    <w:rPr>
      <w:b/>
      <w:spacing w:val="0"/>
      <w:sz w:val="32"/>
    </w:rPr>
  </w:style>
  <w:style w:type="paragraph" w:styleId="11">
    <w:name w:val="Body Text Indent 2"/>
    <w:basedOn w:val="1"/>
    <w:qFormat/>
    <w:uiPriority w:val="0"/>
    <w:pPr>
      <w:spacing w:line="500" w:lineRule="exact"/>
      <w:ind w:firstLine="600" w:firstLineChars="200"/>
    </w:pPr>
    <w:rPr>
      <w:rFonts w:ascii="仿宋_GB2312" w:eastAsia="仿宋_GB2312"/>
      <w:kern w:val="0"/>
      <w:sz w:val="30"/>
    </w:rPr>
  </w:style>
  <w:style w:type="paragraph" w:styleId="12">
    <w:name w:val="Balloon Text"/>
    <w:basedOn w:val="1"/>
    <w:link w:val="46"/>
    <w:semiHidden/>
    <w:unhideWhenUsed/>
    <w:qFormat/>
    <w:uiPriority w:val="99"/>
    <w:rPr>
      <w:sz w:val="18"/>
      <w:szCs w:val="18"/>
    </w:rPr>
  </w:style>
  <w:style w:type="paragraph" w:styleId="13">
    <w:name w:val="footer"/>
    <w:basedOn w:val="1"/>
    <w:link w:val="38"/>
    <w:qFormat/>
    <w:uiPriority w:val="0"/>
    <w:pPr>
      <w:tabs>
        <w:tab w:val="center" w:pos="4153"/>
        <w:tab w:val="right" w:pos="8306"/>
      </w:tabs>
      <w:snapToGrid w:val="0"/>
      <w:jc w:val="left"/>
    </w:pPr>
    <w:rPr>
      <w:sz w:val="18"/>
      <w:szCs w:val="18"/>
    </w:rPr>
  </w:style>
  <w:style w:type="paragraph" w:styleId="14">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40"/>
    <w:qFormat/>
    <w:uiPriority w:val="0"/>
    <w:pPr>
      <w:spacing w:line="560" w:lineRule="exact"/>
      <w:ind w:firstLine="520" w:firstLineChars="200"/>
    </w:pPr>
    <w:rPr>
      <w:rFonts w:ascii="宋体" w:hAnsi="宋体"/>
      <w:color w:val="000000"/>
    </w:rPr>
  </w:style>
  <w:style w:type="paragraph" w:styleId="16">
    <w:name w:val="Normal (Web)"/>
    <w:basedOn w:val="1"/>
    <w:qFormat/>
    <w:uiPriority w:val="99"/>
    <w:pPr>
      <w:widowControl/>
      <w:spacing w:before="100" w:beforeAutospacing="1" w:after="100" w:afterAutospacing="1"/>
      <w:jc w:val="left"/>
    </w:pPr>
    <w:rPr>
      <w:rFonts w:ascii="宋体" w:hAnsi="宋体" w:cs="宋体"/>
      <w:spacing w:val="0"/>
      <w:kern w:val="0"/>
      <w:szCs w:val="24"/>
    </w:rPr>
  </w:style>
  <w:style w:type="paragraph" w:styleId="17">
    <w:name w:val="index 1"/>
    <w:basedOn w:val="1"/>
    <w:next w:val="1"/>
    <w:qFormat/>
    <w:uiPriority w:val="0"/>
    <w:rPr>
      <w:color w:val="000000"/>
      <w:spacing w:val="0"/>
      <w:sz w:val="21"/>
      <w:szCs w:val="24"/>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1">
    <w:name w:val="Strong"/>
    <w:basedOn w:val="20"/>
    <w:qFormat/>
    <w:uiPriority w:val="22"/>
    <w:rPr>
      <w:b/>
      <w:color w:val="333333"/>
      <w:sz w:val="21"/>
      <w:szCs w:val="21"/>
      <w:bdr w:val="single" w:color="999999" w:sz="6" w:space="0"/>
      <w:shd w:val="clear" w:color="auto" w:fill="FFFFFF"/>
    </w:rPr>
  </w:style>
  <w:style w:type="character" w:styleId="22">
    <w:name w:val="page number"/>
    <w:basedOn w:val="20"/>
    <w:qFormat/>
    <w:uiPriority w:val="0"/>
  </w:style>
  <w:style w:type="character" w:styleId="23">
    <w:name w:val="FollowedHyperlink"/>
    <w:basedOn w:val="20"/>
    <w:semiHidden/>
    <w:unhideWhenUsed/>
    <w:qFormat/>
    <w:uiPriority w:val="99"/>
    <w:rPr>
      <w:color w:val="800080"/>
      <w:u w:val="single"/>
    </w:rPr>
  </w:style>
  <w:style w:type="character" w:styleId="24">
    <w:name w:val="HTML Definition"/>
    <w:basedOn w:val="20"/>
    <w:semiHidden/>
    <w:unhideWhenUsed/>
    <w:qFormat/>
    <w:uiPriority w:val="99"/>
    <w:rPr>
      <w:i/>
    </w:rPr>
  </w:style>
  <w:style w:type="character" w:styleId="25">
    <w:name w:val="Hyperlink"/>
    <w:basedOn w:val="20"/>
    <w:semiHidden/>
    <w:unhideWhenUsed/>
    <w:qFormat/>
    <w:uiPriority w:val="99"/>
    <w:rPr>
      <w:color w:val="0000FF"/>
      <w:u w:val="single"/>
    </w:rPr>
  </w:style>
  <w:style w:type="character" w:styleId="26">
    <w:name w:val="HTML Code"/>
    <w:basedOn w:val="20"/>
    <w:semiHidden/>
    <w:unhideWhenUsed/>
    <w:qFormat/>
    <w:uiPriority w:val="99"/>
    <w:rPr>
      <w:rFonts w:hint="default" w:ascii="monospace" w:hAnsi="monospace" w:eastAsia="monospace" w:cs="monospace"/>
      <w:sz w:val="21"/>
      <w:szCs w:val="21"/>
    </w:rPr>
  </w:style>
  <w:style w:type="character" w:styleId="27">
    <w:name w:val="annotation reference"/>
    <w:basedOn w:val="20"/>
    <w:semiHidden/>
    <w:unhideWhenUsed/>
    <w:qFormat/>
    <w:uiPriority w:val="99"/>
    <w:rPr>
      <w:sz w:val="21"/>
      <w:szCs w:val="21"/>
    </w:rPr>
  </w:style>
  <w:style w:type="character" w:styleId="28">
    <w:name w:val="HTML Keyboard"/>
    <w:basedOn w:val="20"/>
    <w:semiHidden/>
    <w:unhideWhenUsed/>
    <w:qFormat/>
    <w:uiPriority w:val="99"/>
    <w:rPr>
      <w:rFonts w:ascii="monospace" w:hAnsi="monospace" w:eastAsia="monospace" w:cs="monospace"/>
      <w:sz w:val="21"/>
      <w:szCs w:val="21"/>
    </w:rPr>
  </w:style>
  <w:style w:type="character" w:styleId="29">
    <w:name w:val="HTML Sample"/>
    <w:basedOn w:val="20"/>
    <w:semiHidden/>
    <w:unhideWhenUsed/>
    <w:qFormat/>
    <w:uiPriority w:val="99"/>
    <w:rPr>
      <w:rFonts w:hint="default" w:ascii="monospace" w:hAnsi="monospace" w:eastAsia="monospace" w:cs="monospace"/>
      <w:sz w:val="21"/>
      <w:szCs w:val="21"/>
    </w:rPr>
  </w:style>
  <w:style w:type="character" w:customStyle="1" w:styleId="30">
    <w:name w:val="纯文本 Char"/>
    <w:basedOn w:val="20"/>
    <w:qFormat/>
    <w:uiPriority w:val="99"/>
    <w:rPr>
      <w:rFonts w:ascii="Courier New" w:hAnsi="Courier New"/>
    </w:rPr>
  </w:style>
  <w:style w:type="character" w:customStyle="1" w:styleId="31">
    <w:name w:val="纯文本 字符"/>
    <w:basedOn w:val="20"/>
    <w:link w:val="9"/>
    <w:qFormat/>
    <w:uiPriority w:val="99"/>
    <w:rPr>
      <w:rFonts w:ascii="宋体" w:hAnsi="Courier New" w:eastAsia="宋体" w:cs="Courier New"/>
      <w:spacing w:val="10"/>
      <w:szCs w:val="21"/>
    </w:rPr>
  </w:style>
  <w:style w:type="character" w:customStyle="1" w:styleId="32">
    <w:name w:val="正文文本缩进 Char"/>
    <w:basedOn w:val="20"/>
    <w:qFormat/>
    <w:uiPriority w:val="0"/>
    <w:rPr>
      <w:rFonts w:ascii="Times New Roman" w:hAnsi="Times New Roman" w:eastAsia="宋体" w:cs="Times New Roman"/>
      <w:sz w:val="28"/>
      <w:szCs w:val="20"/>
    </w:rPr>
  </w:style>
  <w:style w:type="character" w:customStyle="1" w:styleId="33">
    <w:name w:val="正文文本缩进 字符"/>
    <w:basedOn w:val="20"/>
    <w:link w:val="8"/>
    <w:semiHidden/>
    <w:qFormat/>
    <w:uiPriority w:val="99"/>
    <w:rPr>
      <w:rFonts w:ascii="Times New Roman" w:hAnsi="Times New Roman" w:eastAsia="宋体" w:cs="Times New Roman"/>
      <w:spacing w:val="10"/>
      <w:sz w:val="24"/>
      <w:szCs w:val="20"/>
    </w:rPr>
  </w:style>
  <w:style w:type="character" w:customStyle="1" w:styleId="34">
    <w:name w:val="正文缩进 字符"/>
    <w:link w:val="5"/>
    <w:qFormat/>
    <w:uiPriority w:val="0"/>
    <w:rPr>
      <w:rFonts w:ascii="Times New Roman" w:hAnsi="Times New Roman" w:eastAsia="宋体" w:cs="Times New Roman"/>
      <w:spacing w:val="10"/>
      <w:sz w:val="24"/>
      <w:szCs w:val="20"/>
    </w:rPr>
  </w:style>
  <w:style w:type="character" w:customStyle="1" w:styleId="35">
    <w:name w:val="日期 Char"/>
    <w:basedOn w:val="20"/>
    <w:qFormat/>
    <w:uiPriority w:val="0"/>
    <w:rPr>
      <w:rFonts w:ascii="Times New Roman" w:hAnsi="Times New Roman" w:eastAsia="宋体" w:cs="Times New Roman"/>
      <w:b/>
      <w:sz w:val="32"/>
      <w:szCs w:val="20"/>
    </w:rPr>
  </w:style>
  <w:style w:type="character" w:customStyle="1" w:styleId="36">
    <w:name w:val="日期 字符"/>
    <w:basedOn w:val="20"/>
    <w:link w:val="10"/>
    <w:semiHidden/>
    <w:qFormat/>
    <w:uiPriority w:val="99"/>
    <w:rPr>
      <w:rFonts w:ascii="Times New Roman" w:hAnsi="Times New Roman" w:eastAsia="宋体" w:cs="Times New Roman"/>
      <w:spacing w:val="10"/>
      <w:sz w:val="24"/>
      <w:szCs w:val="20"/>
    </w:rPr>
  </w:style>
  <w:style w:type="character" w:customStyle="1" w:styleId="37">
    <w:name w:val="页脚 Char"/>
    <w:basedOn w:val="20"/>
    <w:qFormat/>
    <w:uiPriority w:val="0"/>
    <w:rPr>
      <w:rFonts w:ascii="Times New Roman" w:hAnsi="Times New Roman" w:eastAsia="宋体" w:cs="Times New Roman"/>
      <w:spacing w:val="10"/>
      <w:sz w:val="18"/>
      <w:szCs w:val="18"/>
    </w:rPr>
  </w:style>
  <w:style w:type="character" w:customStyle="1" w:styleId="38">
    <w:name w:val="页脚 字符"/>
    <w:basedOn w:val="20"/>
    <w:link w:val="13"/>
    <w:semiHidden/>
    <w:qFormat/>
    <w:uiPriority w:val="99"/>
    <w:rPr>
      <w:rFonts w:ascii="Times New Roman" w:hAnsi="Times New Roman" w:eastAsia="宋体" w:cs="Times New Roman"/>
      <w:spacing w:val="10"/>
      <w:sz w:val="18"/>
      <w:szCs w:val="18"/>
    </w:rPr>
  </w:style>
  <w:style w:type="character" w:customStyle="1" w:styleId="39">
    <w:name w:val="正文文本缩进 3 Char"/>
    <w:basedOn w:val="20"/>
    <w:autoRedefine/>
    <w:qFormat/>
    <w:uiPriority w:val="0"/>
    <w:rPr>
      <w:rFonts w:ascii="宋体" w:hAnsi="宋体" w:eastAsia="宋体" w:cs="Times New Roman"/>
      <w:color w:val="000000"/>
      <w:spacing w:val="10"/>
      <w:sz w:val="24"/>
      <w:szCs w:val="20"/>
    </w:rPr>
  </w:style>
  <w:style w:type="character" w:customStyle="1" w:styleId="40">
    <w:name w:val="正文文本缩进 3 字符"/>
    <w:basedOn w:val="20"/>
    <w:link w:val="15"/>
    <w:semiHidden/>
    <w:qFormat/>
    <w:uiPriority w:val="99"/>
    <w:rPr>
      <w:rFonts w:ascii="Times New Roman" w:hAnsi="Times New Roman" w:eastAsia="宋体" w:cs="Times New Roman"/>
      <w:spacing w:val="10"/>
      <w:sz w:val="16"/>
      <w:szCs w:val="16"/>
    </w:rPr>
  </w:style>
  <w:style w:type="character" w:customStyle="1" w:styleId="41">
    <w:name w:val="页眉 Char"/>
    <w:basedOn w:val="20"/>
    <w:qFormat/>
    <w:uiPriority w:val="0"/>
    <w:rPr>
      <w:rFonts w:ascii="Times New Roman" w:hAnsi="Times New Roman" w:eastAsia="宋体" w:cs="Times New Roman"/>
      <w:spacing w:val="10"/>
      <w:sz w:val="18"/>
      <w:szCs w:val="18"/>
    </w:rPr>
  </w:style>
  <w:style w:type="character" w:customStyle="1" w:styleId="42">
    <w:name w:val="页眉 字符"/>
    <w:basedOn w:val="20"/>
    <w:link w:val="14"/>
    <w:semiHidden/>
    <w:qFormat/>
    <w:uiPriority w:val="99"/>
    <w:rPr>
      <w:rFonts w:ascii="Times New Roman" w:hAnsi="Times New Roman" w:eastAsia="宋体" w:cs="Times New Roman"/>
      <w:spacing w:val="10"/>
      <w:sz w:val="18"/>
      <w:szCs w:val="18"/>
    </w:rPr>
  </w:style>
  <w:style w:type="character" w:customStyle="1" w:styleId="43">
    <w:name w:val="正文文本 Char"/>
    <w:basedOn w:val="20"/>
    <w:qFormat/>
    <w:uiPriority w:val="0"/>
    <w:rPr>
      <w:rFonts w:ascii="Times New Roman" w:hAnsi="Times New Roman" w:eastAsia="宋体" w:cs="Times New Roman"/>
      <w:spacing w:val="10"/>
      <w:sz w:val="24"/>
      <w:szCs w:val="20"/>
    </w:rPr>
  </w:style>
  <w:style w:type="character" w:customStyle="1" w:styleId="44">
    <w:name w:val="正文文本 字符"/>
    <w:basedOn w:val="20"/>
    <w:link w:val="7"/>
    <w:semiHidden/>
    <w:qFormat/>
    <w:uiPriority w:val="99"/>
    <w:rPr>
      <w:rFonts w:ascii="Times New Roman" w:hAnsi="Times New Roman" w:eastAsia="宋体" w:cs="Times New Roman"/>
      <w:spacing w:val="10"/>
      <w:sz w:val="24"/>
      <w:szCs w:val="20"/>
    </w:rPr>
  </w:style>
  <w:style w:type="character" w:customStyle="1" w:styleId="45">
    <w:name w:val="批注框文本 Char"/>
    <w:basedOn w:val="20"/>
    <w:semiHidden/>
    <w:qFormat/>
    <w:uiPriority w:val="99"/>
    <w:rPr>
      <w:rFonts w:ascii="Times New Roman" w:hAnsi="Times New Roman" w:eastAsia="宋体" w:cs="Times New Roman"/>
      <w:spacing w:val="10"/>
      <w:sz w:val="18"/>
      <w:szCs w:val="18"/>
    </w:rPr>
  </w:style>
  <w:style w:type="character" w:customStyle="1" w:styleId="46">
    <w:name w:val="批注框文本 字符"/>
    <w:basedOn w:val="20"/>
    <w:link w:val="12"/>
    <w:semiHidden/>
    <w:qFormat/>
    <w:uiPriority w:val="99"/>
    <w:rPr>
      <w:rFonts w:ascii="Times New Roman" w:hAnsi="Times New Roman" w:eastAsia="宋体" w:cs="Times New Roman"/>
      <w:spacing w:val="10"/>
      <w:sz w:val="18"/>
      <w:szCs w:val="18"/>
    </w:rPr>
  </w:style>
  <w:style w:type="paragraph" w:styleId="47">
    <w:name w:val="List Paragraph"/>
    <w:basedOn w:val="1"/>
    <w:unhideWhenUsed/>
    <w:qFormat/>
    <w:uiPriority w:val="99"/>
    <w:pPr>
      <w:ind w:firstLine="420" w:firstLineChars="200"/>
    </w:pPr>
  </w:style>
  <w:style w:type="paragraph" w:customStyle="1" w:styleId="48">
    <w:name w:val="xl31"/>
    <w:basedOn w:val="1"/>
    <w:qFormat/>
    <w:uiPriority w:val="0"/>
    <w:pPr>
      <w:widowControl/>
      <w:spacing w:before="100" w:beforeAutospacing="1" w:after="100" w:afterAutospacing="1"/>
      <w:jc w:val="center"/>
    </w:pPr>
    <w:rPr>
      <w:rFonts w:ascii="Arial Unicode MS" w:hAnsi="Arial Unicode MS" w:eastAsia="Arial Unicode MS" w:cs="Arial Unicode MS"/>
      <w:spacing w:val="0"/>
      <w:kern w:val="0"/>
      <w:szCs w:val="24"/>
    </w:rPr>
  </w:style>
  <w:style w:type="paragraph" w:customStyle="1" w:styleId="49">
    <w:name w:val="简单回函地址"/>
    <w:basedOn w:val="1"/>
    <w:qFormat/>
    <w:uiPriority w:val="0"/>
    <w:rPr>
      <w:spacing w:val="0"/>
      <w:sz w:val="21"/>
      <w:szCs w:val="24"/>
    </w:rPr>
  </w:style>
  <w:style w:type="character" w:customStyle="1" w:styleId="50">
    <w:name w:val="font11"/>
    <w:basedOn w:val="20"/>
    <w:qFormat/>
    <w:uiPriority w:val="0"/>
    <w:rPr>
      <w:rFonts w:hint="eastAsia" w:ascii="宋体" w:hAnsi="宋体" w:eastAsia="宋体" w:cs="宋体"/>
      <w:color w:val="000000"/>
      <w:sz w:val="24"/>
      <w:szCs w:val="24"/>
      <w:u w:val="none"/>
      <w:vertAlign w:val="superscript"/>
    </w:rPr>
  </w:style>
  <w:style w:type="character" w:customStyle="1" w:styleId="51">
    <w:name w:val="font01"/>
    <w:basedOn w:val="20"/>
    <w:qFormat/>
    <w:uiPriority w:val="0"/>
    <w:rPr>
      <w:rFonts w:hint="eastAsia" w:ascii="宋体" w:hAnsi="宋体" w:eastAsia="宋体" w:cs="宋体"/>
      <w:color w:val="000000"/>
      <w:sz w:val="24"/>
      <w:szCs w:val="24"/>
      <w:u w:val="none"/>
    </w:rPr>
  </w:style>
  <w:style w:type="paragraph" w:customStyle="1" w:styleId="52">
    <w:name w:val="一览表正文"/>
    <w:basedOn w:val="1"/>
    <w:qFormat/>
    <w:uiPriority w:val="0"/>
    <w:pPr>
      <w:tabs>
        <w:tab w:val="left" w:pos="3570"/>
        <w:tab w:val="left" w:pos="4305"/>
      </w:tabs>
      <w:adjustRightInd w:val="0"/>
      <w:snapToGrid w:val="0"/>
      <w:spacing w:line="320" w:lineRule="exact"/>
      <w:ind w:right="17"/>
      <w:jc w:val="center"/>
    </w:pPr>
    <w:rPr>
      <w:rFonts w:ascii="仿宋_GB2312" w:eastAsia="仿宋_GB2312"/>
      <w:color w:val="000000"/>
      <w:spacing w:val="0"/>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DE4255-E2EA-407D-87E0-C95D25EA6D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33842</Words>
  <Characters>39980</Characters>
  <Lines>213</Lines>
  <Paragraphs>60</Paragraphs>
  <TotalTime>39</TotalTime>
  <ScaleCrop>false</ScaleCrop>
  <LinksUpToDate>false</LinksUpToDate>
  <CharactersWithSpaces>40326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2019-11-17T04:30:00Z</dcterms:created>
  <dc:creator>pc</dc:creator>
  <cp:lastModifiedBy>BrAnT .B</cp:lastModifiedBy>
  <cp:lastPrinted>2023-11-21T01:39:00Z</cp:lastPrinted>
  <dcterms:modified xsi:type="dcterms:W3CDTF">2023-12-25T01:03:15Z</dcterms:modified>
  <cp:revision>941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BB5B5A5027094BB4AC63B8AAD4D42334</vt:lpwstr>
  </property>
</Properties>
</file>