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color w:val="000000" w:themeColor="text1"/>
          <w:spacing w:val="30"/>
          <w:sz w:val="28"/>
          <w:szCs w:val="28"/>
          <w:highlight w:val="none"/>
          <w14:textFill>
            <w14:solidFill>
              <w14:schemeClr w14:val="tx1"/>
            </w14:solidFill>
          </w14:textFill>
        </w:rPr>
      </w:pPr>
      <w:bookmarkStart w:id="27" w:name="_GoBack"/>
      <w:bookmarkEnd w:id="27"/>
      <w:r>
        <w:rPr>
          <w:rFonts w:ascii="宋体" w:hAnsi="宋体"/>
          <w:b/>
          <w:color w:val="000000" w:themeColor="text1"/>
          <w:spacing w:val="30"/>
          <w:sz w:val="28"/>
          <w:szCs w:val="28"/>
          <w:highlight w:val="none"/>
          <w14:textFill>
            <w14:solidFill>
              <w14:schemeClr w14:val="tx1"/>
            </w14:solidFill>
          </w14:textFill>
        </w:rPr>
        <w:t>本报告依据中国资产评估准则编制</w:t>
      </w:r>
    </w:p>
    <w:p>
      <w:pPr>
        <w:jc w:val="left"/>
        <w:rPr>
          <w:rFonts w:ascii="宋体" w:hAnsi="宋体"/>
          <w:b/>
          <w:color w:val="000000" w:themeColor="text1"/>
          <w:spacing w:val="30"/>
          <w:sz w:val="28"/>
          <w:szCs w:val="28"/>
          <w:highlight w:val="none"/>
          <w14:textFill>
            <w14:solidFill>
              <w14:schemeClr w14:val="tx1"/>
            </w14:solidFill>
          </w14:textFill>
        </w:rPr>
      </w:pPr>
      <w:r>
        <w:rPr>
          <w:rFonts w:ascii="宋体" w:hAnsi="宋体"/>
          <w:b/>
          <w:color w:val="000000" w:themeColor="text1"/>
          <w:spacing w:val="30"/>
          <w:sz w:val="28"/>
          <w:szCs w:val="28"/>
          <w:highlight w:val="none"/>
          <w14:textFill>
            <w14:solidFill>
              <w14:schemeClr w14:val="tx1"/>
            </w14:solidFill>
          </w14:textFill>
        </w:rPr>
        <w:t>人民法院委托司法执行财产处置参考价目的资产评估报告</w:t>
      </w:r>
    </w:p>
    <w:p>
      <w:pPr>
        <w:jc w:val="left"/>
        <w:rPr>
          <w:rFonts w:hint="eastAsia" w:ascii="宋体" w:hAnsi="宋体" w:eastAsia="宋体"/>
          <w:b/>
          <w:color w:val="FF6600"/>
          <w:spacing w:val="30"/>
          <w:sz w:val="32"/>
          <w:szCs w:val="32"/>
          <w:highlight w:val="none"/>
          <w:lang w:eastAsia="zh-CN"/>
        </w:rPr>
      </w:pPr>
    </w:p>
    <w:p>
      <w:pPr>
        <w:pStyle w:val="2"/>
        <w:rPr>
          <w:rFonts w:hint="eastAsia"/>
          <w:lang w:eastAsia="zh-CN"/>
        </w:rPr>
      </w:pPr>
    </w:p>
    <w:p>
      <w:pPr>
        <w:jc w:val="left"/>
        <w:rPr>
          <w:rFonts w:ascii="宋体" w:hAnsi="宋体"/>
          <w:b/>
          <w:color w:val="FF6600"/>
          <w:spacing w:val="30"/>
          <w:sz w:val="32"/>
          <w:szCs w:val="32"/>
          <w:highlight w:val="none"/>
        </w:rPr>
      </w:pPr>
    </w:p>
    <w:p>
      <w:pPr>
        <w:jc w:val="left"/>
        <w:rPr>
          <w:rFonts w:ascii="宋体" w:hAnsi="宋体"/>
          <w:b/>
          <w:color w:val="FF6600"/>
          <w:spacing w:val="30"/>
          <w:sz w:val="32"/>
          <w:szCs w:val="32"/>
          <w:highlight w:val="none"/>
        </w:rPr>
      </w:pPr>
    </w:p>
    <w:p>
      <w:pPr>
        <w:jc w:val="left"/>
        <w:rPr>
          <w:rFonts w:ascii="宋体" w:hAnsi="宋体"/>
          <w:b/>
          <w:color w:val="FF6600"/>
          <w:spacing w:val="30"/>
          <w:sz w:val="32"/>
          <w:szCs w:val="32"/>
          <w:highlight w:val="none"/>
        </w:rPr>
      </w:pPr>
    </w:p>
    <w:p>
      <w:pPr>
        <w:spacing w:line="360" w:lineRule="auto"/>
        <w:jc w:val="center"/>
        <w:rPr>
          <w:rFonts w:hint="eastAsia" w:ascii="宋体" w:hAnsi="宋体"/>
          <w:b/>
          <w:color w:val="000000" w:themeColor="text1"/>
          <w:spacing w:val="30"/>
          <w:sz w:val="32"/>
          <w:szCs w:val="32"/>
          <w:highlight w:val="none"/>
          <w:lang w:eastAsia="zh-CN"/>
          <w14:textFill>
            <w14:solidFill>
              <w14:schemeClr w14:val="tx1"/>
            </w14:solidFill>
          </w14:textFill>
        </w:rPr>
      </w:pPr>
      <w:bookmarkStart w:id="0" w:name="_Hlk79413866"/>
      <w:r>
        <w:rPr>
          <w:rFonts w:hint="eastAsia" w:ascii="宋体" w:hAnsi="宋体"/>
          <w:b/>
          <w:color w:val="000000" w:themeColor="text1"/>
          <w:spacing w:val="30"/>
          <w:sz w:val="32"/>
          <w:szCs w:val="32"/>
          <w:highlight w:val="none"/>
          <w:lang w:eastAsia="zh-CN"/>
          <w14:textFill>
            <w14:solidFill>
              <w14:schemeClr w14:val="tx1"/>
            </w14:solidFill>
          </w14:textFill>
        </w:rPr>
        <w:t>永宁县人民法院拟财产处置所涉及的</w:t>
      </w:r>
    </w:p>
    <w:p>
      <w:pPr>
        <w:spacing w:line="360" w:lineRule="auto"/>
        <w:jc w:val="center"/>
        <w:rPr>
          <w:rFonts w:hint="eastAsia" w:ascii="宋体" w:hAnsi="宋体" w:eastAsia="宋体"/>
          <w:b/>
          <w:color w:val="000000" w:themeColor="text1"/>
          <w:spacing w:val="30"/>
          <w:sz w:val="32"/>
          <w:szCs w:val="32"/>
          <w:highlight w:val="none"/>
          <w:lang w:eastAsia="zh-CN"/>
          <w14:textFill>
            <w14:solidFill>
              <w14:schemeClr w14:val="tx1"/>
            </w14:solidFill>
          </w14:textFill>
        </w:rPr>
      </w:pPr>
      <w:r>
        <w:rPr>
          <w:rFonts w:hint="eastAsia" w:ascii="宋体" w:hAnsi="宋体"/>
          <w:b/>
          <w:color w:val="000000" w:themeColor="text1"/>
          <w:spacing w:val="30"/>
          <w:sz w:val="32"/>
          <w:szCs w:val="32"/>
          <w:highlight w:val="none"/>
          <w:lang w:eastAsia="zh-CN"/>
          <w14:textFill>
            <w14:solidFill>
              <w14:schemeClr w14:val="tx1"/>
            </w14:solidFill>
          </w14:textFill>
        </w:rPr>
        <w:t>宁夏宏兴天然气股份有限公司相关资产项目</w:t>
      </w:r>
    </w:p>
    <w:bookmarkEnd w:id="0"/>
    <w:p>
      <w:pPr>
        <w:spacing w:before="240" w:beforeLines="100" w:after="240" w:afterLines="100"/>
        <w:jc w:val="center"/>
        <w:rPr>
          <w:rFonts w:eastAsia="黑体"/>
          <w:b/>
          <w:sz w:val="44"/>
          <w:szCs w:val="44"/>
          <w:highlight w:val="none"/>
        </w:rPr>
      </w:pPr>
      <w:r>
        <w:rPr>
          <w:rFonts w:eastAsia="黑体"/>
          <w:b/>
          <w:sz w:val="44"/>
          <w:szCs w:val="44"/>
          <w:highlight w:val="none"/>
        </w:rPr>
        <w:t>资产评估报告</w:t>
      </w:r>
    </w:p>
    <w:p>
      <w:pPr>
        <w:spacing w:line="360" w:lineRule="auto"/>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中和评报字（202</w:t>
      </w:r>
      <w:r>
        <w:rPr>
          <w:rFonts w:hint="eastAsia"/>
          <w:b/>
          <w:color w:val="000000" w:themeColor="text1"/>
          <w:sz w:val="28"/>
          <w:szCs w:val="28"/>
          <w:highlight w:val="none"/>
          <w:lang w:val="en-US" w:eastAsia="zh-CN"/>
          <w14:textFill>
            <w14:solidFill>
              <w14:schemeClr w14:val="tx1"/>
            </w14:solidFill>
          </w14:textFill>
        </w:rPr>
        <w:t>3</w:t>
      </w:r>
      <w:r>
        <w:rPr>
          <w:b/>
          <w:color w:val="000000" w:themeColor="text1"/>
          <w:sz w:val="28"/>
          <w:szCs w:val="28"/>
          <w:highlight w:val="none"/>
          <w14:textFill>
            <w14:solidFill>
              <w14:schemeClr w14:val="tx1"/>
            </w14:solidFill>
          </w14:textFill>
        </w:rPr>
        <w:t>）第</w:t>
      </w:r>
      <w:r>
        <w:rPr>
          <w:rFonts w:hint="eastAsia"/>
          <w:b/>
          <w:color w:val="000000" w:themeColor="text1"/>
          <w:sz w:val="28"/>
          <w:szCs w:val="28"/>
          <w:highlight w:val="none"/>
          <w:lang w:val="en-US" w:eastAsia="zh-CN"/>
          <w14:textFill>
            <w14:solidFill>
              <w14:schemeClr w14:val="tx1"/>
            </w14:solidFill>
          </w14:textFill>
        </w:rPr>
        <w:t>YCL1009</w:t>
      </w:r>
      <w:r>
        <w:rPr>
          <w:b/>
          <w:color w:val="000000" w:themeColor="text1"/>
          <w:sz w:val="28"/>
          <w:szCs w:val="28"/>
          <w:highlight w:val="none"/>
          <w14:textFill>
            <w14:solidFill>
              <w14:schemeClr w14:val="tx1"/>
            </w14:solidFill>
          </w14:textFill>
        </w:rPr>
        <w:t>号</w:t>
      </w: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eastAsia="楷体_GB2312"/>
          <w:b/>
          <w:highlight w:val="none"/>
        </w:rPr>
      </w:pPr>
    </w:p>
    <w:p>
      <w:pPr>
        <w:spacing w:line="360" w:lineRule="auto"/>
        <w:jc w:val="center"/>
        <w:rPr>
          <w:rFonts w:eastAsia="楷体_GB2312"/>
          <w:b/>
          <w:highlight w:val="none"/>
        </w:rPr>
      </w:pPr>
    </w:p>
    <w:p>
      <w:pPr>
        <w:spacing w:line="360" w:lineRule="auto"/>
        <w:jc w:val="center"/>
        <w:rPr>
          <w:rFonts w:eastAsia="楷体_GB2312"/>
          <w:b/>
          <w:highlight w:val="none"/>
        </w:rPr>
      </w:pPr>
    </w:p>
    <w:p>
      <w:pPr>
        <w:spacing w:line="360" w:lineRule="auto"/>
        <w:jc w:val="center"/>
        <w:rPr>
          <w:rFonts w:eastAsia="楷体_GB2312"/>
          <w:b/>
          <w:highlight w:val="none"/>
        </w:rPr>
      </w:pPr>
    </w:p>
    <w:p>
      <w:pPr>
        <w:spacing w:line="360" w:lineRule="auto"/>
        <w:jc w:val="center"/>
        <w:rPr>
          <w:rFonts w:eastAsia="楷体_GB2312"/>
          <w:b/>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15"/>
        <w:jc w:val="both"/>
        <w:rPr>
          <w:i/>
          <w:spacing w:val="30"/>
          <w:sz w:val="32"/>
          <w:szCs w:val="32"/>
          <w:highlight w:val="none"/>
        </w:rPr>
      </w:pPr>
    </w:p>
    <w:p>
      <w:pPr>
        <w:spacing w:line="360" w:lineRule="auto"/>
        <w:rPr>
          <w:highlight w:val="none"/>
        </w:rPr>
      </w:pPr>
    </w:p>
    <w:p>
      <w:pPr>
        <w:spacing w:line="360" w:lineRule="auto"/>
        <w:rPr>
          <w:highlight w:val="none"/>
        </w:rPr>
      </w:pPr>
    </w:p>
    <w:p>
      <w:pPr>
        <w:spacing w:line="360" w:lineRule="auto"/>
        <w:jc w:val="center"/>
        <w:rPr>
          <w:highlight w:val="none"/>
        </w:rPr>
      </w:pPr>
      <w:r>
        <w:rPr>
          <w:rFonts w:ascii="宋体" w:hAnsi="宋体" w:eastAsia="隶书"/>
          <w:b/>
          <w:i/>
          <w:spacing w:val="30"/>
          <w:sz w:val="20"/>
          <w:highlight w:val="none"/>
        </w:rPr>
        <w:drawing>
          <wp:inline distT="0" distB="0" distL="0" distR="0">
            <wp:extent cx="2743200" cy="397510"/>
            <wp:effectExtent l="19050" t="0" r="0" b="0"/>
            <wp:docPr id="1" name="图片 1" descr="中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和"/>
                    <pic:cNvPicPr>
                      <a:picLocks noChangeAspect="1" noChangeArrowheads="1"/>
                    </pic:cNvPicPr>
                  </pic:nvPicPr>
                  <pic:blipFill>
                    <a:blip r:embed="rId9" cstate="print"/>
                    <a:srcRect/>
                    <a:stretch>
                      <a:fillRect/>
                    </a:stretch>
                  </pic:blipFill>
                  <pic:spPr>
                    <a:xfrm>
                      <a:off x="0" y="0"/>
                      <a:ext cx="2743200" cy="397510"/>
                    </a:xfrm>
                    <a:prstGeom prst="rect">
                      <a:avLst/>
                    </a:prstGeom>
                    <a:noFill/>
                    <a:ln w="9525">
                      <a:noFill/>
                      <a:miter lim="800000"/>
                      <a:headEnd/>
                      <a:tailEnd/>
                    </a:ln>
                  </pic:spPr>
                </pic:pic>
              </a:graphicData>
            </a:graphic>
          </wp:inline>
        </w:drawing>
      </w:r>
    </w:p>
    <w:p>
      <w:pPr>
        <w:tabs>
          <w:tab w:val="left" w:pos="720"/>
        </w:tabs>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rFonts w:ascii="宋体" w:hAnsi="宋体"/>
          <w:b/>
          <w:sz w:val="32"/>
          <w:highlight w:val="none"/>
        </w:rPr>
      </w:pPr>
      <w:r>
        <w:rPr>
          <w:rFonts w:hint="eastAsia" w:ascii="宋体" w:hAnsi="宋体"/>
          <w:b/>
          <w:sz w:val="32"/>
          <w:highlight w:val="none"/>
        </w:rPr>
        <w:t>二○</w:t>
      </w:r>
      <w:r>
        <w:rPr>
          <w:rFonts w:ascii="宋体" w:hAnsi="宋体"/>
          <w:b/>
          <w:sz w:val="32"/>
          <w:highlight w:val="none"/>
        </w:rPr>
        <w:t>二</w:t>
      </w:r>
      <w:r>
        <w:rPr>
          <w:rFonts w:hint="eastAsia" w:ascii="宋体" w:hAnsi="宋体"/>
          <w:b/>
          <w:sz w:val="32"/>
          <w:highlight w:val="none"/>
          <w:lang w:val="en-US" w:eastAsia="zh-CN"/>
        </w:rPr>
        <w:t>三</w:t>
      </w:r>
      <w:r>
        <w:rPr>
          <w:rFonts w:hint="eastAsia" w:ascii="宋体" w:hAnsi="宋体"/>
          <w:b/>
          <w:sz w:val="32"/>
          <w:highlight w:val="none"/>
        </w:rPr>
        <w:t>年</w:t>
      </w:r>
      <w:r>
        <w:rPr>
          <w:rFonts w:hint="eastAsia" w:ascii="宋体" w:hAnsi="宋体"/>
          <w:b/>
          <w:sz w:val="32"/>
          <w:highlight w:val="none"/>
          <w:lang w:val="en-US" w:eastAsia="zh-CN"/>
        </w:rPr>
        <w:t>六</w:t>
      </w:r>
      <w:r>
        <w:rPr>
          <w:rFonts w:hint="eastAsia" w:ascii="宋体" w:hAnsi="宋体"/>
          <w:b/>
          <w:sz w:val="32"/>
          <w:highlight w:val="none"/>
        </w:rPr>
        <w:t>月</w:t>
      </w:r>
      <w:r>
        <w:rPr>
          <w:rFonts w:hint="eastAsia" w:ascii="宋体" w:hAnsi="宋体"/>
          <w:b/>
          <w:sz w:val="32"/>
          <w:highlight w:val="none"/>
          <w:lang w:val="en-US" w:eastAsia="zh-CN"/>
        </w:rPr>
        <w:t>十九</w:t>
      </w:r>
      <w:r>
        <w:rPr>
          <w:rFonts w:hint="eastAsia" w:ascii="宋体" w:hAnsi="宋体"/>
          <w:b/>
          <w:sz w:val="32"/>
          <w:highlight w:val="none"/>
        </w:rPr>
        <w:t>日</w:t>
      </w:r>
    </w:p>
    <w:p>
      <w:pPr>
        <w:pageBreakBefore/>
        <w:spacing w:line="360" w:lineRule="auto"/>
        <w:jc w:val="center"/>
        <w:rPr>
          <w:rFonts w:eastAsia="仿宋_GB2312"/>
          <w:b/>
          <w:spacing w:val="20"/>
          <w:highlight w:val="none"/>
        </w:rPr>
        <w:sectPr>
          <w:headerReference r:id="rId4" w:type="first"/>
          <w:footerReference r:id="rId7" w:type="first"/>
          <w:headerReference r:id="rId3" w:type="default"/>
          <w:footerReference r:id="rId5" w:type="default"/>
          <w:footerReference r:id="rId6" w:type="even"/>
          <w:pgSz w:w="11907" w:h="16839"/>
          <w:pgMar w:top="1440" w:right="1361" w:bottom="1440" w:left="1469" w:header="624" w:footer="302" w:gutter="0"/>
          <w:pgNumType w:start="0"/>
          <w:cols w:space="425" w:num="1"/>
          <w:titlePg/>
          <w:docGrid w:linePitch="380" w:charSpace="-5735"/>
        </w:sectPr>
      </w:pPr>
    </w:p>
    <w:p>
      <w:pPr>
        <w:spacing w:before="600" w:beforeLines="250" w:after="240" w:afterLines="100" w:line="360" w:lineRule="auto"/>
        <w:jc w:val="center"/>
        <w:rPr>
          <w:rFonts w:ascii="黑体" w:eastAsia="黑体"/>
          <w:b/>
          <w:spacing w:val="20"/>
          <w:sz w:val="44"/>
          <w:szCs w:val="44"/>
          <w:highlight w:val="none"/>
        </w:rPr>
      </w:pPr>
      <w:r>
        <w:rPr>
          <w:rFonts w:hint="eastAsia" w:ascii="黑体" w:eastAsia="黑体"/>
          <w:b/>
          <w:spacing w:val="20"/>
          <w:sz w:val="44"/>
          <w:szCs w:val="44"/>
          <w:highlight w:val="none"/>
        </w:rPr>
        <w:t>资产评估报告目录</w:t>
      </w:r>
    </w:p>
    <w:p>
      <w:pPr>
        <w:pStyle w:val="24"/>
        <w:tabs>
          <w:tab w:val="right" w:leader="dot" w:pos="9077"/>
        </w:tabs>
        <w:rPr>
          <w:highlight w:val="none"/>
        </w:rPr>
      </w:pPr>
      <w:r>
        <w:rPr>
          <w:rFonts w:hAnsi="宋体"/>
          <w:b w:val="0"/>
          <w:szCs w:val="28"/>
          <w:highlight w:val="none"/>
        </w:rPr>
        <w:fldChar w:fldCharType="begin"/>
      </w:r>
      <w:r>
        <w:rPr>
          <w:rFonts w:hAnsi="宋体"/>
          <w:b w:val="0"/>
          <w:szCs w:val="28"/>
          <w:highlight w:val="none"/>
        </w:rPr>
        <w:instrText xml:space="preserve"> TOC \o "1-2" \h \z \u </w:instrText>
      </w:r>
      <w:r>
        <w:rPr>
          <w:rFonts w:hAnsi="宋体"/>
          <w:b w:val="0"/>
          <w:szCs w:val="28"/>
          <w:highlight w:val="none"/>
        </w:rPr>
        <w:fldChar w:fldCharType="separate"/>
      </w:r>
      <w:r>
        <w:rPr>
          <w:rFonts w:hAnsi="宋体"/>
          <w:szCs w:val="28"/>
          <w:highlight w:val="none"/>
        </w:rPr>
        <w:fldChar w:fldCharType="begin"/>
      </w:r>
      <w:r>
        <w:rPr>
          <w:rFonts w:hAnsi="宋体"/>
          <w:szCs w:val="28"/>
          <w:highlight w:val="none"/>
        </w:rPr>
        <w:instrText xml:space="preserve"> HYPERLINK \l _Toc15979 </w:instrText>
      </w:r>
      <w:r>
        <w:rPr>
          <w:rFonts w:hAnsi="宋体"/>
          <w:szCs w:val="28"/>
          <w:highlight w:val="none"/>
        </w:rPr>
        <w:fldChar w:fldCharType="separate"/>
      </w:r>
      <w:r>
        <w:rPr>
          <w:rFonts w:hint="eastAsia" w:ascii="黑体"/>
          <w:bCs/>
          <w:szCs w:val="44"/>
          <w:highlight w:val="none"/>
        </w:rPr>
        <w:t>资产评估报告声明</w:t>
      </w:r>
      <w:r>
        <w:rPr>
          <w:highlight w:val="none"/>
        </w:rPr>
        <w:tab/>
      </w:r>
      <w:r>
        <w:rPr>
          <w:highlight w:val="none"/>
        </w:rPr>
        <w:fldChar w:fldCharType="begin"/>
      </w:r>
      <w:r>
        <w:rPr>
          <w:highlight w:val="none"/>
        </w:rPr>
        <w:instrText xml:space="preserve"> PAGEREF _Toc15979 \h </w:instrText>
      </w:r>
      <w:r>
        <w:rPr>
          <w:highlight w:val="none"/>
        </w:rPr>
        <w:fldChar w:fldCharType="separate"/>
      </w:r>
      <w:r>
        <w:rPr>
          <w:highlight w:val="none"/>
        </w:rPr>
        <w:t>1</w:t>
      </w:r>
      <w:r>
        <w:rPr>
          <w:highlight w:val="none"/>
        </w:rPr>
        <w:fldChar w:fldCharType="end"/>
      </w:r>
      <w:r>
        <w:rPr>
          <w:rFonts w:hAnsi="宋体"/>
          <w:szCs w:val="28"/>
          <w:highlight w:val="none"/>
        </w:rPr>
        <w:fldChar w:fldCharType="end"/>
      </w:r>
    </w:p>
    <w:p>
      <w:pPr>
        <w:pStyle w:val="24"/>
        <w:tabs>
          <w:tab w:val="right" w:leader="dot" w:pos="9077"/>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_Toc6717 </w:instrText>
      </w:r>
      <w:r>
        <w:rPr>
          <w:rFonts w:ascii="仿宋_GB2312" w:hAnsi="宋体" w:eastAsia="仿宋_GB2312"/>
          <w:snapToGrid w:val="0"/>
          <w:szCs w:val="28"/>
          <w:highlight w:val="none"/>
        </w:rPr>
        <w:fldChar w:fldCharType="separate"/>
      </w:r>
      <w:r>
        <w:rPr>
          <w:rFonts w:hint="eastAsia" w:ascii="黑体"/>
          <w:bCs/>
          <w:spacing w:val="200"/>
          <w:highlight w:val="none"/>
        </w:rPr>
        <w:t>摘</w:t>
      </w:r>
      <w:r>
        <w:rPr>
          <w:rFonts w:hint="eastAsia" w:ascii="黑体"/>
          <w:bCs/>
          <w:highlight w:val="none"/>
        </w:rPr>
        <w:t>要</w:t>
      </w:r>
      <w:r>
        <w:rPr>
          <w:highlight w:val="none"/>
        </w:rPr>
        <w:tab/>
      </w:r>
      <w:r>
        <w:rPr>
          <w:highlight w:val="none"/>
        </w:rPr>
        <w:fldChar w:fldCharType="begin"/>
      </w:r>
      <w:r>
        <w:rPr>
          <w:highlight w:val="none"/>
        </w:rPr>
        <w:instrText xml:space="preserve"> PAGEREF _Toc6717 \h </w:instrText>
      </w:r>
      <w:r>
        <w:rPr>
          <w:highlight w:val="none"/>
        </w:rPr>
        <w:fldChar w:fldCharType="separate"/>
      </w:r>
      <w:r>
        <w:rPr>
          <w:highlight w:val="none"/>
        </w:rPr>
        <w:t>3</w:t>
      </w:r>
      <w:r>
        <w:rPr>
          <w:highlight w:val="none"/>
        </w:rPr>
        <w:fldChar w:fldCharType="end"/>
      </w:r>
      <w:r>
        <w:rPr>
          <w:rFonts w:ascii="仿宋_GB2312" w:hAnsi="宋体" w:eastAsia="仿宋_GB2312"/>
          <w:snapToGrid w:val="0"/>
          <w:szCs w:val="28"/>
          <w:highlight w:val="none"/>
        </w:rPr>
        <w:fldChar w:fldCharType="end"/>
      </w:r>
    </w:p>
    <w:p>
      <w:pPr>
        <w:pStyle w:val="24"/>
        <w:tabs>
          <w:tab w:val="right" w:leader="dot" w:pos="9077"/>
        </w:tabs>
        <w:rPr>
          <w:rFonts w:hAnsi="宋体"/>
          <w:szCs w:val="28"/>
          <w:highlight w:val="none"/>
        </w:rPr>
      </w:pPr>
      <w:r>
        <w:rPr>
          <w:rFonts w:hAnsi="宋体"/>
          <w:szCs w:val="28"/>
          <w:highlight w:val="none"/>
        </w:rPr>
        <w:fldChar w:fldCharType="begin"/>
      </w:r>
      <w:r>
        <w:rPr>
          <w:rFonts w:hAnsi="宋体"/>
          <w:szCs w:val="28"/>
          <w:highlight w:val="none"/>
        </w:rPr>
        <w:instrText xml:space="preserve"> HYPERLINK \l _Toc8262 </w:instrText>
      </w:r>
      <w:r>
        <w:rPr>
          <w:rFonts w:hAnsi="宋体"/>
          <w:szCs w:val="28"/>
          <w:highlight w:val="none"/>
        </w:rPr>
        <w:fldChar w:fldCharType="separate"/>
      </w:r>
      <w:r>
        <w:rPr>
          <w:rFonts w:hint="eastAsia" w:hAnsi="宋体"/>
          <w:szCs w:val="28"/>
          <w:highlight w:val="none"/>
        </w:rPr>
        <w:t>资产评估报告</w:t>
      </w:r>
      <w:r>
        <w:rPr>
          <w:rFonts w:hAnsi="宋体"/>
          <w:szCs w:val="28"/>
          <w:highlight w:val="none"/>
        </w:rPr>
        <w:tab/>
      </w:r>
      <w:r>
        <w:rPr>
          <w:highlight w:val="none"/>
        </w:rPr>
        <w:fldChar w:fldCharType="begin"/>
      </w:r>
      <w:r>
        <w:rPr>
          <w:highlight w:val="none"/>
        </w:rPr>
        <w:instrText xml:space="preserve"> PAGEREF _Toc8262 \h </w:instrText>
      </w:r>
      <w:r>
        <w:rPr>
          <w:highlight w:val="none"/>
        </w:rPr>
        <w:fldChar w:fldCharType="separate"/>
      </w:r>
      <w:r>
        <w:rPr>
          <w:highlight w:val="none"/>
        </w:rPr>
        <w:t>5</w:t>
      </w:r>
      <w:r>
        <w:rPr>
          <w:highlight w:val="none"/>
        </w:rPr>
        <w:fldChar w:fldCharType="end"/>
      </w:r>
      <w:r>
        <w:rPr>
          <w:rFonts w:hAnsi="宋体"/>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_Toc10782 </w:instrText>
      </w:r>
      <w:r>
        <w:rPr>
          <w:rFonts w:ascii="仿宋_GB2312" w:hAnsi="宋体" w:eastAsia="仿宋_GB2312"/>
          <w:snapToGrid w:val="0"/>
          <w:szCs w:val="28"/>
          <w:highlight w:val="none"/>
        </w:rPr>
        <w:fldChar w:fldCharType="separate"/>
      </w:r>
      <w:r>
        <w:rPr>
          <w:rFonts w:ascii="仿宋_GB2312" w:eastAsia="仿宋_GB2312"/>
          <w:szCs w:val="28"/>
          <w:highlight w:val="none"/>
        </w:rPr>
        <w:t xml:space="preserve">一、 </w:t>
      </w:r>
      <w:r>
        <w:rPr>
          <w:rFonts w:hint="eastAsia" w:ascii="仿宋_GB2312" w:eastAsia="仿宋_GB2312"/>
          <w:szCs w:val="28"/>
          <w:highlight w:val="none"/>
        </w:rPr>
        <w:t>委托人、产权持有人及其他评估报告使用人</w:t>
      </w:r>
      <w:r>
        <w:rPr>
          <w:highlight w:val="none"/>
        </w:rPr>
        <w:tab/>
      </w:r>
      <w:r>
        <w:rPr>
          <w:highlight w:val="none"/>
        </w:rPr>
        <w:fldChar w:fldCharType="begin"/>
      </w:r>
      <w:r>
        <w:rPr>
          <w:highlight w:val="none"/>
        </w:rPr>
        <w:instrText xml:space="preserve"> PAGEREF _Toc10782 \h </w:instrText>
      </w:r>
      <w:r>
        <w:rPr>
          <w:highlight w:val="none"/>
        </w:rPr>
        <w:fldChar w:fldCharType="separate"/>
      </w:r>
      <w:r>
        <w:rPr>
          <w:highlight w:val="none"/>
        </w:rPr>
        <w:t>5</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_Toc16240 </w:instrText>
      </w:r>
      <w:r>
        <w:rPr>
          <w:rFonts w:ascii="仿宋_GB2312" w:hAnsi="宋体" w:eastAsia="仿宋_GB2312"/>
          <w:snapToGrid w:val="0"/>
          <w:szCs w:val="28"/>
          <w:highlight w:val="none"/>
        </w:rPr>
        <w:fldChar w:fldCharType="separate"/>
      </w:r>
      <w:r>
        <w:rPr>
          <w:rFonts w:ascii="仿宋_GB2312" w:eastAsia="仿宋_GB2312"/>
          <w:szCs w:val="28"/>
          <w:highlight w:val="none"/>
        </w:rPr>
        <w:t>二、 评估目的</w:t>
      </w:r>
      <w:r>
        <w:rPr>
          <w:highlight w:val="none"/>
        </w:rPr>
        <w:tab/>
      </w:r>
      <w:r>
        <w:rPr>
          <w:highlight w:val="none"/>
        </w:rPr>
        <w:fldChar w:fldCharType="begin"/>
      </w:r>
      <w:r>
        <w:rPr>
          <w:highlight w:val="none"/>
        </w:rPr>
        <w:instrText xml:space="preserve"> PAGEREF _Toc16240 \h </w:instrText>
      </w:r>
      <w:r>
        <w:rPr>
          <w:highlight w:val="none"/>
        </w:rPr>
        <w:fldChar w:fldCharType="separate"/>
      </w:r>
      <w:r>
        <w:rPr>
          <w:highlight w:val="none"/>
        </w:rPr>
        <w:t>6</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_Toc4827 </w:instrText>
      </w:r>
      <w:r>
        <w:rPr>
          <w:rFonts w:ascii="仿宋_GB2312" w:hAnsi="宋体" w:eastAsia="仿宋_GB2312"/>
          <w:snapToGrid w:val="0"/>
          <w:szCs w:val="28"/>
          <w:highlight w:val="none"/>
        </w:rPr>
        <w:fldChar w:fldCharType="separate"/>
      </w:r>
      <w:r>
        <w:rPr>
          <w:rFonts w:ascii="仿宋_GB2312" w:eastAsia="仿宋_GB2312"/>
          <w:szCs w:val="28"/>
          <w:highlight w:val="none"/>
        </w:rPr>
        <w:t>三、 评估对象和评估范围</w:t>
      </w:r>
      <w:r>
        <w:rPr>
          <w:highlight w:val="none"/>
        </w:rPr>
        <w:tab/>
      </w:r>
      <w:r>
        <w:rPr>
          <w:highlight w:val="none"/>
        </w:rPr>
        <w:fldChar w:fldCharType="begin"/>
      </w:r>
      <w:r>
        <w:rPr>
          <w:highlight w:val="none"/>
        </w:rPr>
        <w:instrText xml:space="preserve"> PAGEREF _Toc4827 \h </w:instrText>
      </w:r>
      <w:r>
        <w:rPr>
          <w:highlight w:val="none"/>
        </w:rPr>
        <w:fldChar w:fldCharType="separate"/>
      </w:r>
      <w:r>
        <w:rPr>
          <w:highlight w:val="none"/>
        </w:rPr>
        <w:t>7</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_Toc6821 </w:instrText>
      </w:r>
      <w:r>
        <w:rPr>
          <w:rFonts w:ascii="仿宋_GB2312" w:hAnsi="宋体" w:eastAsia="仿宋_GB2312"/>
          <w:snapToGrid w:val="0"/>
          <w:szCs w:val="28"/>
          <w:highlight w:val="none"/>
        </w:rPr>
        <w:fldChar w:fldCharType="separate"/>
      </w:r>
      <w:r>
        <w:rPr>
          <w:rFonts w:ascii="仿宋_GB2312" w:eastAsia="仿宋_GB2312"/>
          <w:szCs w:val="28"/>
          <w:highlight w:val="none"/>
        </w:rPr>
        <w:t xml:space="preserve">四、 </w:t>
      </w:r>
      <w:r>
        <w:rPr>
          <w:rFonts w:hint="eastAsia" w:ascii="仿宋_GB2312" w:eastAsia="仿宋_GB2312"/>
          <w:szCs w:val="28"/>
          <w:highlight w:val="none"/>
        </w:rPr>
        <w:t>价值类型及其定义</w:t>
      </w:r>
      <w:r>
        <w:rPr>
          <w:highlight w:val="none"/>
        </w:rPr>
        <w:tab/>
      </w:r>
      <w:r>
        <w:rPr>
          <w:highlight w:val="none"/>
        </w:rPr>
        <w:fldChar w:fldCharType="begin"/>
      </w:r>
      <w:r>
        <w:rPr>
          <w:highlight w:val="none"/>
        </w:rPr>
        <w:instrText xml:space="preserve"> PAGEREF _Toc6821 \h </w:instrText>
      </w:r>
      <w:r>
        <w:rPr>
          <w:highlight w:val="none"/>
        </w:rPr>
        <w:fldChar w:fldCharType="separate"/>
      </w:r>
      <w:r>
        <w:rPr>
          <w:highlight w:val="none"/>
        </w:rPr>
        <w:t>7</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_Toc2196 </w:instrText>
      </w:r>
      <w:r>
        <w:rPr>
          <w:rFonts w:ascii="仿宋_GB2312" w:hAnsi="宋体" w:eastAsia="仿宋_GB2312"/>
          <w:snapToGrid w:val="0"/>
          <w:szCs w:val="28"/>
          <w:highlight w:val="none"/>
        </w:rPr>
        <w:fldChar w:fldCharType="separate"/>
      </w:r>
      <w:r>
        <w:rPr>
          <w:rFonts w:ascii="仿宋_GB2312" w:eastAsia="仿宋_GB2312"/>
          <w:szCs w:val="28"/>
          <w:highlight w:val="none"/>
        </w:rPr>
        <w:t>五、 评估基准日</w:t>
      </w:r>
      <w:r>
        <w:rPr>
          <w:highlight w:val="none"/>
        </w:rPr>
        <w:tab/>
      </w:r>
      <w:r>
        <w:rPr>
          <w:highlight w:val="none"/>
        </w:rPr>
        <w:fldChar w:fldCharType="begin"/>
      </w:r>
      <w:r>
        <w:rPr>
          <w:highlight w:val="none"/>
        </w:rPr>
        <w:instrText xml:space="preserve"> PAGEREF _Toc2196 \h </w:instrText>
      </w:r>
      <w:r>
        <w:rPr>
          <w:highlight w:val="none"/>
        </w:rPr>
        <w:fldChar w:fldCharType="separate"/>
      </w:r>
      <w:r>
        <w:rPr>
          <w:highlight w:val="none"/>
        </w:rPr>
        <w:t>8</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_Toc19605 </w:instrText>
      </w:r>
      <w:r>
        <w:rPr>
          <w:rFonts w:ascii="仿宋_GB2312" w:hAnsi="宋体" w:eastAsia="仿宋_GB2312"/>
          <w:snapToGrid w:val="0"/>
          <w:szCs w:val="28"/>
          <w:highlight w:val="none"/>
        </w:rPr>
        <w:fldChar w:fldCharType="separate"/>
      </w:r>
      <w:r>
        <w:rPr>
          <w:rFonts w:ascii="仿宋_GB2312" w:eastAsia="仿宋_GB2312"/>
          <w:szCs w:val="28"/>
          <w:highlight w:val="none"/>
        </w:rPr>
        <w:t>六、 评估依据</w:t>
      </w:r>
      <w:r>
        <w:rPr>
          <w:highlight w:val="none"/>
        </w:rPr>
        <w:tab/>
      </w:r>
      <w:r>
        <w:rPr>
          <w:highlight w:val="none"/>
        </w:rPr>
        <w:fldChar w:fldCharType="begin"/>
      </w:r>
      <w:r>
        <w:rPr>
          <w:highlight w:val="none"/>
        </w:rPr>
        <w:instrText xml:space="preserve"> PAGEREF _Toc19605 \h </w:instrText>
      </w:r>
      <w:r>
        <w:rPr>
          <w:highlight w:val="none"/>
        </w:rPr>
        <w:fldChar w:fldCharType="separate"/>
      </w:r>
      <w:r>
        <w:rPr>
          <w:highlight w:val="none"/>
        </w:rPr>
        <w:t>8</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_Toc15899 </w:instrText>
      </w:r>
      <w:r>
        <w:rPr>
          <w:rFonts w:ascii="仿宋_GB2312" w:hAnsi="宋体" w:eastAsia="仿宋_GB2312"/>
          <w:snapToGrid w:val="0"/>
          <w:szCs w:val="28"/>
          <w:highlight w:val="none"/>
        </w:rPr>
        <w:fldChar w:fldCharType="separate"/>
      </w:r>
      <w:r>
        <w:rPr>
          <w:rFonts w:ascii="仿宋_GB2312" w:eastAsia="仿宋_GB2312"/>
          <w:szCs w:val="28"/>
          <w:highlight w:val="none"/>
        </w:rPr>
        <w:t>七、 评估方法</w:t>
      </w:r>
      <w:r>
        <w:rPr>
          <w:highlight w:val="none"/>
        </w:rPr>
        <w:tab/>
      </w:r>
      <w:r>
        <w:rPr>
          <w:highlight w:val="none"/>
        </w:rPr>
        <w:fldChar w:fldCharType="begin"/>
      </w:r>
      <w:r>
        <w:rPr>
          <w:highlight w:val="none"/>
        </w:rPr>
        <w:instrText xml:space="preserve"> PAGEREF _Toc15899 \h </w:instrText>
      </w:r>
      <w:r>
        <w:rPr>
          <w:highlight w:val="none"/>
        </w:rPr>
        <w:fldChar w:fldCharType="separate"/>
      </w:r>
      <w:r>
        <w:rPr>
          <w:highlight w:val="none"/>
        </w:rPr>
        <w:t>9</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_Toc15388 </w:instrText>
      </w:r>
      <w:r>
        <w:rPr>
          <w:rFonts w:ascii="仿宋_GB2312" w:hAnsi="宋体" w:eastAsia="仿宋_GB2312"/>
          <w:snapToGrid w:val="0"/>
          <w:szCs w:val="28"/>
          <w:highlight w:val="none"/>
        </w:rPr>
        <w:fldChar w:fldCharType="separate"/>
      </w:r>
      <w:r>
        <w:rPr>
          <w:rFonts w:ascii="仿宋_GB2312" w:eastAsia="仿宋_GB2312"/>
          <w:szCs w:val="28"/>
          <w:highlight w:val="none"/>
        </w:rPr>
        <w:t xml:space="preserve">八、 </w:t>
      </w:r>
      <w:r>
        <w:rPr>
          <w:rFonts w:hint="eastAsia" w:ascii="仿宋_GB2312" w:eastAsia="仿宋_GB2312"/>
          <w:szCs w:val="28"/>
          <w:highlight w:val="none"/>
        </w:rPr>
        <w:t>评估程序实施过程和情况</w:t>
      </w:r>
      <w:r>
        <w:rPr>
          <w:highlight w:val="none"/>
        </w:rPr>
        <w:tab/>
      </w:r>
      <w:r>
        <w:rPr>
          <w:highlight w:val="none"/>
        </w:rPr>
        <w:fldChar w:fldCharType="begin"/>
      </w:r>
      <w:r>
        <w:rPr>
          <w:highlight w:val="none"/>
        </w:rPr>
        <w:instrText xml:space="preserve"> PAGEREF _Toc15388 \h </w:instrText>
      </w:r>
      <w:r>
        <w:rPr>
          <w:highlight w:val="none"/>
        </w:rPr>
        <w:fldChar w:fldCharType="separate"/>
      </w:r>
      <w:r>
        <w:rPr>
          <w:highlight w:val="none"/>
        </w:rPr>
        <w:t>11</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_Toc26826 </w:instrText>
      </w:r>
      <w:r>
        <w:rPr>
          <w:rFonts w:ascii="仿宋_GB2312" w:hAnsi="宋体" w:eastAsia="仿宋_GB2312"/>
          <w:snapToGrid w:val="0"/>
          <w:szCs w:val="28"/>
          <w:highlight w:val="none"/>
        </w:rPr>
        <w:fldChar w:fldCharType="separate"/>
      </w:r>
      <w:r>
        <w:rPr>
          <w:rFonts w:ascii="仿宋_GB2312" w:eastAsia="仿宋_GB2312"/>
          <w:szCs w:val="28"/>
          <w:highlight w:val="none"/>
        </w:rPr>
        <w:t xml:space="preserve">九、 </w:t>
      </w:r>
      <w:r>
        <w:rPr>
          <w:rFonts w:hint="eastAsia" w:ascii="仿宋_GB2312" w:eastAsia="仿宋_GB2312"/>
          <w:szCs w:val="28"/>
          <w:highlight w:val="none"/>
        </w:rPr>
        <w:t>评估假设</w:t>
      </w:r>
      <w:r>
        <w:rPr>
          <w:highlight w:val="none"/>
        </w:rPr>
        <w:tab/>
      </w:r>
      <w:r>
        <w:rPr>
          <w:highlight w:val="none"/>
        </w:rPr>
        <w:fldChar w:fldCharType="begin"/>
      </w:r>
      <w:r>
        <w:rPr>
          <w:highlight w:val="none"/>
        </w:rPr>
        <w:instrText xml:space="preserve"> PAGEREF _Toc26826 \h </w:instrText>
      </w:r>
      <w:r>
        <w:rPr>
          <w:highlight w:val="none"/>
        </w:rPr>
        <w:fldChar w:fldCharType="separate"/>
      </w:r>
      <w:r>
        <w:rPr>
          <w:highlight w:val="none"/>
        </w:rPr>
        <w:t>12</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_Toc21341 </w:instrText>
      </w:r>
      <w:r>
        <w:rPr>
          <w:rFonts w:ascii="仿宋_GB2312" w:hAnsi="宋体" w:eastAsia="仿宋_GB2312"/>
          <w:snapToGrid w:val="0"/>
          <w:szCs w:val="28"/>
          <w:highlight w:val="none"/>
        </w:rPr>
        <w:fldChar w:fldCharType="separate"/>
      </w:r>
      <w:r>
        <w:rPr>
          <w:rFonts w:ascii="仿宋_GB2312" w:eastAsia="仿宋_GB2312"/>
          <w:szCs w:val="28"/>
          <w:highlight w:val="none"/>
        </w:rPr>
        <w:t>十、 评估结论</w:t>
      </w:r>
      <w:r>
        <w:rPr>
          <w:highlight w:val="none"/>
        </w:rPr>
        <w:tab/>
      </w:r>
      <w:r>
        <w:rPr>
          <w:highlight w:val="none"/>
        </w:rPr>
        <w:fldChar w:fldCharType="begin"/>
      </w:r>
      <w:r>
        <w:rPr>
          <w:highlight w:val="none"/>
        </w:rPr>
        <w:instrText xml:space="preserve"> PAGEREF _Toc21341 \h </w:instrText>
      </w:r>
      <w:r>
        <w:rPr>
          <w:highlight w:val="none"/>
        </w:rPr>
        <w:fldChar w:fldCharType="separate"/>
      </w:r>
      <w:r>
        <w:rPr>
          <w:highlight w:val="none"/>
        </w:rPr>
        <w:t>13</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_Toc21441 </w:instrText>
      </w:r>
      <w:r>
        <w:rPr>
          <w:rFonts w:ascii="仿宋_GB2312" w:hAnsi="宋体" w:eastAsia="仿宋_GB2312"/>
          <w:snapToGrid w:val="0"/>
          <w:szCs w:val="28"/>
          <w:highlight w:val="none"/>
        </w:rPr>
        <w:fldChar w:fldCharType="separate"/>
      </w:r>
      <w:r>
        <w:rPr>
          <w:rFonts w:ascii="仿宋_GB2312" w:eastAsia="仿宋_GB2312"/>
          <w:szCs w:val="28"/>
          <w:highlight w:val="none"/>
        </w:rPr>
        <w:t>十一、 特别事项说明</w:t>
      </w:r>
      <w:r>
        <w:rPr>
          <w:highlight w:val="none"/>
        </w:rPr>
        <w:tab/>
      </w:r>
      <w:r>
        <w:rPr>
          <w:highlight w:val="none"/>
        </w:rPr>
        <w:fldChar w:fldCharType="begin"/>
      </w:r>
      <w:r>
        <w:rPr>
          <w:highlight w:val="none"/>
        </w:rPr>
        <w:instrText xml:space="preserve"> PAGEREF _Toc21441 \h </w:instrText>
      </w:r>
      <w:r>
        <w:rPr>
          <w:highlight w:val="none"/>
        </w:rPr>
        <w:fldChar w:fldCharType="separate"/>
      </w:r>
      <w:r>
        <w:rPr>
          <w:highlight w:val="none"/>
        </w:rPr>
        <w:t>13</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_Toc7278 </w:instrText>
      </w:r>
      <w:r>
        <w:rPr>
          <w:rFonts w:ascii="仿宋_GB2312" w:hAnsi="宋体" w:eastAsia="仿宋_GB2312"/>
          <w:snapToGrid w:val="0"/>
          <w:szCs w:val="28"/>
          <w:highlight w:val="none"/>
        </w:rPr>
        <w:fldChar w:fldCharType="separate"/>
      </w:r>
      <w:r>
        <w:rPr>
          <w:rFonts w:ascii="仿宋_GB2312" w:eastAsia="仿宋_GB2312"/>
          <w:szCs w:val="28"/>
          <w:highlight w:val="none"/>
        </w:rPr>
        <w:t>十二、 评估报告</w:t>
      </w:r>
      <w:r>
        <w:rPr>
          <w:rFonts w:hint="eastAsia" w:ascii="仿宋_GB2312" w:eastAsia="仿宋_GB2312"/>
          <w:szCs w:val="28"/>
          <w:highlight w:val="none"/>
        </w:rPr>
        <w:t>使用限制说明</w:t>
      </w:r>
      <w:r>
        <w:rPr>
          <w:highlight w:val="none"/>
        </w:rPr>
        <w:tab/>
      </w:r>
      <w:r>
        <w:rPr>
          <w:highlight w:val="none"/>
        </w:rPr>
        <w:fldChar w:fldCharType="begin"/>
      </w:r>
      <w:r>
        <w:rPr>
          <w:highlight w:val="none"/>
        </w:rPr>
        <w:instrText xml:space="preserve"> PAGEREF _Toc7278 \h </w:instrText>
      </w:r>
      <w:r>
        <w:rPr>
          <w:highlight w:val="none"/>
        </w:rPr>
        <w:fldChar w:fldCharType="separate"/>
      </w:r>
      <w:r>
        <w:rPr>
          <w:highlight w:val="none"/>
        </w:rPr>
        <w:t>13</w:t>
      </w:r>
      <w:r>
        <w:rPr>
          <w:highlight w:val="none"/>
        </w:rPr>
        <w:fldChar w:fldCharType="end"/>
      </w:r>
      <w:r>
        <w:rPr>
          <w:rFonts w:ascii="仿宋_GB2312" w:hAnsi="宋体" w:eastAsia="仿宋_GB2312"/>
          <w:snapToGrid w:val="0"/>
          <w:szCs w:val="28"/>
          <w:highlight w:val="none"/>
        </w:rPr>
        <w:fldChar w:fldCharType="end"/>
      </w:r>
    </w:p>
    <w:p>
      <w:pPr>
        <w:pStyle w:val="27"/>
        <w:tabs>
          <w:tab w:val="right" w:leader="dot" w:pos="9077"/>
          <w:tab w:val="clear" w:pos="1260"/>
          <w:tab w:val="clear" w:pos="9072"/>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_Toc1609 </w:instrText>
      </w:r>
      <w:r>
        <w:rPr>
          <w:rFonts w:ascii="仿宋_GB2312" w:hAnsi="宋体" w:eastAsia="仿宋_GB2312"/>
          <w:snapToGrid w:val="0"/>
          <w:szCs w:val="28"/>
          <w:highlight w:val="none"/>
        </w:rPr>
        <w:fldChar w:fldCharType="separate"/>
      </w:r>
      <w:r>
        <w:rPr>
          <w:rFonts w:ascii="仿宋_GB2312" w:eastAsia="仿宋_GB2312"/>
          <w:szCs w:val="28"/>
          <w:highlight w:val="none"/>
        </w:rPr>
        <w:t>十三、 评估报告日</w:t>
      </w:r>
      <w:r>
        <w:rPr>
          <w:highlight w:val="none"/>
        </w:rPr>
        <w:tab/>
      </w:r>
      <w:r>
        <w:rPr>
          <w:highlight w:val="none"/>
        </w:rPr>
        <w:fldChar w:fldCharType="begin"/>
      </w:r>
      <w:r>
        <w:rPr>
          <w:highlight w:val="none"/>
        </w:rPr>
        <w:instrText xml:space="preserve"> PAGEREF _Toc1609 \h </w:instrText>
      </w:r>
      <w:r>
        <w:rPr>
          <w:highlight w:val="none"/>
        </w:rPr>
        <w:fldChar w:fldCharType="separate"/>
      </w:r>
      <w:r>
        <w:rPr>
          <w:highlight w:val="none"/>
        </w:rPr>
        <w:t>14</w:t>
      </w:r>
      <w:r>
        <w:rPr>
          <w:highlight w:val="none"/>
        </w:rPr>
        <w:fldChar w:fldCharType="end"/>
      </w:r>
      <w:r>
        <w:rPr>
          <w:rFonts w:ascii="仿宋_GB2312" w:hAnsi="宋体" w:eastAsia="仿宋_GB2312"/>
          <w:snapToGrid w:val="0"/>
          <w:szCs w:val="28"/>
          <w:highlight w:val="none"/>
        </w:rPr>
        <w:fldChar w:fldCharType="end"/>
      </w:r>
    </w:p>
    <w:p>
      <w:pPr>
        <w:pStyle w:val="24"/>
        <w:tabs>
          <w:tab w:val="right" w:leader="dot" w:pos="9077"/>
        </w:tabs>
        <w:rPr>
          <w:highlight w:val="none"/>
        </w:rPr>
      </w:pPr>
      <w:r>
        <w:rPr>
          <w:rFonts w:ascii="仿宋_GB2312" w:hAnsi="宋体" w:eastAsia="仿宋_GB2312"/>
          <w:snapToGrid w:val="0"/>
          <w:szCs w:val="28"/>
          <w:highlight w:val="none"/>
        </w:rPr>
        <w:fldChar w:fldCharType="begin"/>
      </w:r>
      <w:r>
        <w:rPr>
          <w:rFonts w:ascii="仿宋_GB2312" w:hAnsi="宋体" w:eastAsia="仿宋_GB2312"/>
          <w:snapToGrid w:val="0"/>
          <w:szCs w:val="28"/>
          <w:highlight w:val="none"/>
        </w:rPr>
        <w:instrText xml:space="preserve"> HYPERLINK \l _Toc22719 </w:instrText>
      </w:r>
      <w:r>
        <w:rPr>
          <w:rFonts w:ascii="仿宋_GB2312" w:hAnsi="宋体" w:eastAsia="仿宋_GB2312"/>
          <w:snapToGrid w:val="0"/>
          <w:szCs w:val="28"/>
          <w:highlight w:val="none"/>
        </w:rPr>
        <w:fldChar w:fldCharType="separate"/>
      </w:r>
      <w:r>
        <w:rPr>
          <w:rFonts w:hint="eastAsia"/>
          <w:szCs w:val="44"/>
          <w:highlight w:val="none"/>
        </w:rPr>
        <w:t>资产评估报告附件</w:t>
      </w:r>
      <w:r>
        <w:rPr>
          <w:highlight w:val="none"/>
        </w:rPr>
        <w:tab/>
      </w:r>
      <w:r>
        <w:rPr>
          <w:highlight w:val="none"/>
        </w:rPr>
        <w:fldChar w:fldCharType="begin"/>
      </w:r>
      <w:r>
        <w:rPr>
          <w:highlight w:val="none"/>
        </w:rPr>
        <w:instrText xml:space="preserve"> PAGEREF _Toc22719 \h </w:instrText>
      </w:r>
      <w:r>
        <w:rPr>
          <w:highlight w:val="none"/>
        </w:rPr>
        <w:fldChar w:fldCharType="separate"/>
      </w:r>
      <w:r>
        <w:rPr>
          <w:highlight w:val="none"/>
        </w:rPr>
        <w:t>16</w:t>
      </w:r>
      <w:r>
        <w:rPr>
          <w:highlight w:val="none"/>
        </w:rPr>
        <w:fldChar w:fldCharType="end"/>
      </w:r>
      <w:r>
        <w:rPr>
          <w:rFonts w:ascii="仿宋_GB2312" w:hAnsi="宋体" w:eastAsia="仿宋_GB2312"/>
          <w:snapToGrid w:val="0"/>
          <w:szCs w:val="28"/>
          <w:highlight w:val="none"/>
        </w:rPr>
        <w:fldChar w:fldCharType="end"/>
      </w:r>
    </w:p>
    <w:p>
      <w:pPr>
        <w:tabs>
          <w:tab w:val="right" w:leader="dot" w:pos="9072"/>
        </w:tabs>
        <w:rPr>
          <w:rFonts w:hAnsi="宋体"/>
          <w:szCs w:val="28"/>
          <w:highlight w:val="none"/>
        </w:rPr>
        <w:sectPr>
          <w:pgSz w:w="11907" w:h="16839"/>
          <w:pgMar w:top="1440" w:right="1361" w:bottom="1440" w:left="1469" w:header="624" w:footer="302" w:gutter="0"/>
          <w:pgNumType w:start="1"/>
          <w:cols w:space="425" w:num="1"/>
          <w:docGrid w:linePitch="380" w:charSpace="-5735"/>
        </w:sectPr>
      </w:pPr>
      <w:r>
        <w:rPr>
          <w:rFonts w:ascii="仿宋_GB2312" w:hAnsi="宋体" w:eastAsia="仿宋_GB2312"/>
          <w:snapToGrid w:val="0"/>
          <w:szCs w:val="28"/>
          <w:highlight w:val="none"/>
        </w:rPr>
        <w:fldChar w:fldCharType="end"/>
      </w:r>
    </w:p>
    <w:p>
      <w:pPr>
        <w:pStyle w:val="3"/>
        <w:spacing w:before="480" w:beforeLines="200" w:after="120" w:afterLines="50" w:line="360" w:lineRule="auto"/>
        <w:jc w:val="center"/>
        <w:rPr>
          <w:rFonts w:ascii="黑体"/>
          <w:bCs/>
          <w:sz w:val="44"/>
          <w:szCs w:val="44"/>
          <w:highlight w:val="none"/>
        </w:rPr>
      </w:pPr>
      <w:bookmarkStart w:id="1" w:name="_Toc15979"/>
      <w:r>
        <w:rPr>
          <w:rFonts w:hint="eastAsia" w:ascii="黑体"/>
          <w:bCs/>
          <w:sz w:val="44"/>
          <w:szCs w:val="44"/>
          <w:highlight w:val="none"/>
        </w:rPr>
        <w:t>资产评估报告声明</w:t>
      </w:r>
      <w:bookmarkEnd w:id="1"/>
    </w:p>
    <w:p>
      <w:pPr>
        <w:rPr>
          <w:highlight w:val="none"/>
        </w:rPr>
      </w:pPr>
    </w:p>
    <w:p>
      <w:pPr>
        <w:pStyle w:val="24"/>
        <w:ind w:firstLine="560" w:firstLineChars="200"/>
        <w:rPr>
          <w:rFonts w:ascii="Times New Roman"/>
          <w:b w:val="0"/>
          <w:szCs w:val="28"/>
          <w:highlight w:val="none"/>
        </w:rPr>
      </w:pPr>
      <w:r>
        <w:rPr>
          <w:rFonts w:hint="eastAsia" w:ascii="Times New Roman"/>
          <w:b w:val="0"/>
          <w:szCs w:val="28"/>
          <w:highlight w:val="none"/>
        </w:rPr>
        <w:t>一、本资产评估报告依据财政部发布的资产评估基本准则和中国资产评估协会发布的资产评估执业准则和职业道德准则编制。</w:t>
      </w:r>
    </w:p>
    <w:p>
      <w:pPr>
        <w:pStyle w:val="24"/>
        <w:ind w:firstLine="560" w:firstLineChars="200"/>
        <w:rPr>
          <w:rFonts w:ascii="Times New Roman"/>
          <w:b w:val="0"/>
          <w:szCs w:val="28"/>
          <w:highlight w:val="none"/>
        </w:rPr>
      </w:pPr>
      <w:r>
        <w:rPr>
          <w:rFonts w:hint="eastAsia" w:ascii="Times New Roman"/>
          <w:b w:val="0"/>
          <w:szCs w:val="28"/>
          <w:highlight w:val="none"/>
        </w:rPr>
        <w:t>二、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pPr>
        <w:pStyle w:val="24"/>
        <w:ind w:firstLine="560" w:firstLineChars="200"/>
        <w:rPr>
          <w:rFonts w:ascii="Times New Roman"/>
          <w:b w:val="0"/>
          <w:szCs w:val="28"/>
          <w:highlight w:val="none"/>
        </w:rPr>
      </w:pPr>
      <w:r>
        <w:rPr>
          <w:rFonts w:hint="eastAsia" w:ascii="Times New Roman"/>
          <w:b w:val="0"/>
          <w:szCs w:val="28"/>
          <w:highlight w:val="none"/>
        </w:rPr>
        <w:t>三、资产评估报告仅供委托人和法律、行政法规规定的资产评估报告使用人使用；除此之外，其他任何机构和个人不能成为资产评估报告的使用人。</w:t>
      </w:r>
    </w:p>
    <w:p>
      <w:pPr>
        <w:pStyle w:val="24"/>
        <w:ind w:firstLine="560" w:firstLineChars="200"/>
        <w:rPr>
          <w:rFonts w:ascii="Times New Roman"/>
          <w:b w:val="0"/>
          <w:szCs w:val="28"/>
          <w:highlight w:val="none"/>
        </w:rPr>
      </w:pPr>
      <w:r>
        <w:rPr>
          <w:rFonts w:hint="eastAsia" w:ascii="Times New Roman"/>
          <w:b w:val="0"/>
          <w:szCs w:val="28"/>
          <w:highlight w:val="none"/>
        </w:rPr>
        <w:t xml:space="preserve">四、资产评估报告使用人应当正确理解和使用评估结论，评估结论不等同于评估对象可实现价格，评估结论不应当被认为是对评估对象可实现价格的保证。 </w:t>
      </w:r>
    </w:p>
    <w:p>
      <w:pPr>
        <w:pStyle w:val="24"/>
        <w:ind w:firstLine="560" w:firstLineChars="200"/>
        <w:rPr>
          <w:rFonts w:ascii="Times New Roman"/>
          <w:b w:val="0"/>
          <w:szCs w:val="28"/>
          <w:highlight w:val="none"/>
        </w:rPr>
      </w:pPr>
      <w:r>
        <w:rPr>
          <w:rFonts w:hint="eastAsia" w:ascii="Times New Roman"/>
          <w:b w:val="0"/>
          <w:szCs w:val="28"/>
          <w:highlight w:val="none"/>
        </w:rPr>
        <w:t>五、资产评估机构及其资产评估专业人员遵守法律、行政法规和资产评估准则，坚持独立、客观、公正的原则，并对所出具的资产评估报告依法承担责任。</w:t>
      </w:r>
    </w:p>
    <w:p>
      <w:pPr>
        <w:pStyle w:val="24"/>
        <w:ind w:firstLine="560" w:firstLineChars="200"/>
        <w:rPr>
          <w:rFonts w:ascii="Times New Roman"/>
          <w:b w:val="0"/>
          <w:szCs w:val="28"/>
          <w:highlight w:val="none"/>
        </w:rPr>
      </w:pPr>
      <w:r>
        <w:rPr>
          <w:rFonts w:hint="eastAsia" w:ascii="Times New Roman"/>
          <w:b w:val="0"/>
          <w:szCs w:val="28"/>
          <w:highlight w:val="none"/>
        </w:rPr>
        <w:t>六、评估对象涉及的资产清单由委托人提供、并经委托人相关人员采用签名方式进行确认；委托人和其他相关当事人依法对其提供资料的真实性、完整性、合法性负责。</w:t>
      </w:r>
    </w:p>
    <w:p>
      <w:pPr>
        <w:pStyle w:val="24"/>
        <w:ind w:firstLine="560" w:firstLineChars="200"/>
        <w:rPr>
          <w:snapToGrid/>
          <w:szCs w:val="28"/>
          <w:highlight w:val="none"/>
        </w:rPr>
      </w:pPr>
      <w:r>
        <w:rPr>
          <w:rFonts w:hint="eastAsia" w:ascii="Times New Roman"/>
          <w:b w:val="0"/>
          <w:szCs w:val="28"/>
          <w:highlight w:val="none"/>
        </w:rPr>
        <w:t>七、本资产评估报告是根据人民法院及相关当事人提供的资料和信息出具，资料和信息的真实性、完整性、合法性对评估结论构成影响，依据同一标的资产的其他资料或者信息可能得出与本报告不一致的评估结论。</w:t>
      </w:r>
    </w:p>
    <w:p>
      <w:pPr>
        <w:pStyle w:val="24"/>
        <w:ind w:firstLine="560" w:firstLineChars="200"/>
        <w:rPr>
          <w:rFonts w:ascii="Times New Roman"/>
          <w:b w:val="0"/>
          <w:szCs w:val="28"/>
          <w:highlight w:val="none"/>
        </w:rPr>
      </w:pPr>
      <w:r>
        <w:rPr>
          <w:rFonts w:hint="eastAsia" w:ascii="Times New Roman"/>
          <w:b w:val="0"/>
          <w:szCs w:val="28"/>
          <w:highlight w:val="none"/>
        </w:rPr>
        <w:t>八、本资产评估机构及资产评估师与资产评估报告中的评估对象没有现存或者预期的利益关系；与相关当事人没有现存或者预期的利益关系，对相关当事人不存在偏见。</w:t>
      </w:r>
    </w:p>
    <w:p>
      <w:pPr>
        <w:pStyle w:val="24"/>
        <w:ind w:firstLine="560" w:firstLineChars="200"/>
        <w:rPr>
          <w:rFonts w:ascii="Times New Roman"/>
          <w:b w:val="0"/>
          <w:szCs w:val="28"/>
          <w:highlight w:val="none"/>
        </w:rPr>
      </w:pPr>
      <w:r>
        <w:rPr>
          <w:rFonts w:hint="eastAsia" w:ascii="Times New Roman"/>
          <w:b w:val="0"/>
          <w:szCs w:val="28"/>
          <w:highlight w:val="none"/>
        </w:rPr>
        <w:t>九、资产评估师已经对资产评估报告中的评估对象及其所涉及资产进行现场调查；已经对评估对象及其所涉及资产的法律权属状况给予必要的关注，对评估对象及其所涉及资产的法律权属资料进行了查验，对已经发现的问题进行了如实披露。</w:t>
      </w:r>
    </w:p>
    <w:p>
      <w:pPr>
        <w:pStyle w:val="24"/>
        <w:ind w:firstLine="560" w:firstLineChars="200"/>
        <w:rPr>
          <w:rFonts w:ascii="Times New Roman"/>
          <w:b w:val="0"/>
          <w:szCs w:val="28"/>
          <w:highlight w:val="none"/>
        </w:rPr>
      </w:pPr>
      <w:r>
        <w:rPr>
          <w:rFonts w:hint="eastAsia" w:ascii="Times New Roman"/>
          <w:b w:val="0"/>
          <w:szCs w:val="28"/>
          <w:highlight w:val="none"/>
        </w:rPr>
        <w:t>十、本资产评估机构出具的资产评估报告中的分析、判断和结论受资产评估报告中假设和限制条件的限制，资产评估报告使用人应当充分关注资产评估报告中载明的评估结论成立的假设前提、资产评估报告特别事项说明和使用限制条件，并考虑其对评估结论的影响。</w:t>
      </w:r>
    </w:p>
    <w:p>
      <w:pPr>
        <w:spacing w:before="480" w:beforeLines="200" w:line="360" w:lineRule="auto"/>
        <w:jc w:val="center"/>
        <w:rPr>
          <w:rFonts w:hint="eastAsia" w:ascii="宋体" w:hAnsi="宋体"/>
          <w:b/>
          <w:color w:val="000000" w:themeColor="text1"/>
          <w:spacing w:val="30"/>
          <w:sz w:val="32"/>
          <w:szCs w:val="32"/>
          <w:highlight w:val="none"/>
          <w:lang w:eastAsia="zh-CN"/>
          <w14:textFill>
            <w14:solidFill>
              <w14:schemeClr w14:val="tx1"/>
            </w14:solidFill>
          </w14:textFill>
        </w:rPr>
      </w:pPr>
      <w:r>
        <w:rPr>
          <w:highlight w:val="none"/>
        </w:rPr>
        <w:br w:type="page"/>
      </w:r>
      <w:bookmarkStart w:id="2" w:name="_Hlk80344532"/>
      <w:r>
        <w:rPr>
          <w:rFonts w:hint="eastAsia" w:ascii="宋体" w:hAnsi="宋体"/>
          <w:b/>
          <w:color w:val="000000" w:themeColor="text1"/>
          <w:spacing w:val="30"/>
          <w:sz w:val="32"/>
          <w:szCs w:val="32"/>
          <w:highlight w:val="none"/>
          <w:lang w:eastAsia="zh-CN"/>
          <w14:textFill>
            <w14:solidFill>
              <w14:schemeClr w14:val="tx1"/>
            </w14:solidFill>
          </w14:textFill>
        </w:rPr>
        <w:t>永宁县人民法院拟财产处置所涉及的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000000" w:themeColor="text1"/>
          <w:spacing w:val="30"/>
          <w:sz w:val="32"/>
          <w:szCs w:val="32"/>
          <w:highlight w:val="none"/>
          <w:lang w:eastAsia="zh-CN"/>
          <w14:textFill>
            <w14:solidFill>
              <w14:schemeClr w14:val="tx1"/>
            </w14:solidFill>
          </w14:textFill>
        </w:rPr>
      </w:pPr>
      <w:r>
        <w:rPr>
          <w:rFonts w:hint="eastAsia" w:ascii="宋体" w:hAnsi="宋体"/>
          <w:b/>
          <w:color w:val="000000" w:themeColor="text1"/>
          <w:spacing w:val="30"/>
          <w:sz w:val="32"/>
          <w:szCs w:val="32"/>
          <w:highlight w:val="none"/>
          <w:lang w:eastAsia="zh-CN"/>
          <w14:textFill>
            <w14:solidFill>
              <w14:schemeClr w14:val="tx1"/>
            </w14:solidFill>
          </w14:textFill>
        </w:rPr>
        <w:t>宁夏宏兴天然气股份有限公司相关资产项目</w:t>
      </w:r>
    </w:p>
    <w:bookmarkEnd w:id="2"/>
    <w:p>
      <w:pPr>
        <w:spacing w:after="240" w:afterLines="100"/>
        <w:jc w:val="center"/>
        <w:rPr>
          <w:rFonts w:ascii="黑体" w:eastAsia="黑体"/>
          <w:b/>
          <w:color w:val="000000" w:themeColor="text1"/>
          <w:sz w:val="44"/>
          <w:szCs w:val="44"/>
          <w:highlight w:val="none"/>
          <w14:textFill>
            <w14:solidFill>
              <w14:schemeClr w14:val="tx1"/>
            </w14:solidFill>
          </w14:textFill>
        </w:rPr>
      </w:pPr>
      <w:r>
        <w:rPr>
          <w:rFonts w:hint="eastAsia" w:ascii="黑体" w:eastAsia="黑体"/>
          <w:b/>
          <w:color w:val="000000" w:themeColor="text1"/>
          <w:sz w:val="44"/>
          <w:szCs w:val="44"/>
          <w:highlight w:val="none"/>
          <w14:textFill>
            <w14:solidFill>
              <w14:schemeClr w14:val="tx1"/>
            </w14:solidFill>
          </w14:textFill>
        </w:rPr>
        <w:t>资产评估报告</w:t>
      </w:r>
    </w:p>
    <w:p>
      <w:pPr>
        <w:spacing w:after="240" w:afterLines="100"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中和评报字（202</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）第</w:t>
      </w:r>
      <w:r>
        <w:rPr>
          <w:rFonts w:hint="eastAsia"/>
          <w:color w:val="000000" w:themeColor="text1"/>
          <w:sz w:val="24"/>
          <w:highlight w:val="none"/>
          <w:lang w:val="en-US" w:eastAsia="zh-CN"/>
          <w14:textFill>
            <w14:solidFill>
              <w14:schemeClr w14:val="tx1"/>
            </w14:solidFill>
          </w14:textFill>
        </w:rPr>
        <w:t>YCL1009</w:t>
      </w:r>
      <w:r>
        <w:rPr>
          <w:color w:val="000000" w:themeColor="text1"/>
          <w:sz w:val="24"/>
          <w:highlight w:val="none"/>
          <w14:textFill>
            <w14:solidFill>
              <w14:schemeClr w14:val="tx1"/>
            </w14:solidFill>
          </w14:textFill>
        </w:rPr>
        <w:t>号</w:t>
      </w:r>
    </w:p>
    <w:p>
      <w:pPr>
        <w:pStyle w:val="3"/>
        <w:spacing w:before="0" w:after="240" w:afterLines="100" w:line="360" w:lineRule="auto"/>
        <w:jc w:val="center"/>
        <w:rPr>
          <w:rFonts w:ascii="黑体"/>
          <w:b w:val="0"/>
          <w:bCs/>
          <w:sz w:val="30"/>
          <w:highlight w:val="none"/>
        </w:rPr>
      </w:pPr>
      <w:bookmarkStart w:id="3" w:name="_Toc6717"/>
      <w:r>
        <w:rPr>
          <w:rFonts w:hint="eastAsia" w:ascii="黑体"/>
          <w:b w:val="0"/>
          <w:bCs/>
          <w:spacing w:val="200"/>
          <w:sz w:val="30"/>
          <w:highlight w:val="none"/>
        </w:rPr>
        <w:t>摘</w:t>
      </w:r>
      <w:r>
        <w:rPr>
          <w:rFonts w:hint="eastAsia" w:ascii="黑体"/>
          <w:b w:val="0"/>
          <w:bCs/>
          <w:sz w:val="30"/>
          <w:highlight w:val="none"/>
        </w:rPr>
        <w:t>要</w:t>
      </w:r>
      <w:bookmarkEnd w:id="3"/>
    </w:p>
    <w:p>
      <w:pPr>
        <w:snapToGrid w:val="0"/>
        <w:spacing w:line="360" w:lineRule="auto"/>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中和资产评估有限公司(以下简称“本资产评估机构”)接受</w:t>
      </w:r>
      <w:r>
        <w:rPr>
          <w:rFonts w:hint="eastAsia" w:ascii="仿宋_GB2312" w:hAnsi="宋体" w:eastAsia="仿宋_GB2312"/>
          <w:color w:val="000000" w:themeColor="text1"/>
          <w:sz w:val="28"/>
          <w:szCs w:val="28"/>
          <w:highlight w:val="none"/>
          <w:lang w:eastAsia="zh-CN"/>
          <w14:textFill>
            <w14:solidFill>
              <w14:schemeClr w14:val="tx1"/>
            </w14:solidFill>
          </w14:textFill>
        </w:rPr>
        <w:t>永宁县人民法院</w:t>
      </w:r>
      <w:r>
        <w:rPr>
          <w:rFonts w:hint="eastAsia" w:ascii="仿宋_GB2312" w:hAnsi="宋体" w:eastAsia="仿宋_GB2312"/>
          <w:color w:val="000000" w:themeColor="text1"/>
          <w:sz w:val="28"/>
          <w:szCs w:val="28"/>
          <w:highlight w:val="none"/>
          <w14:textFill>
            <w14:solidFill>
              <w14:schemeClr w14:val="tx1"/>
            </w14:solidFill>
          </w14:textFill>
        </w:rPr>
        <w:t>的委托，按照法律、行政法规和资产评估准则的规定，坚持独立、客观和公正的原则，按照必要的评估程序，</w:t>
      </w:r>
      <w:bookmarkStart w:id="4" w:name="_Hlk77861636"/>
      <w:r>
        <w:rPr>
          <w:rFonts w:hint="eastAsia" w:ascii="仿宋_GB2312" w:hAnsi="宋体" w:eastAsia="仿宋_GB2312"/>
          <w:color w:val="000000" w:themeColor="text1"/>
          <w:sz w:val="28"/>
          <w:szCs w:val="28"/>
          <w:highlight w:val="none"/>
          <w:lang w:eastAsia="zh-CN"/>
          <w14:textFill>
            <w14:solidFill>
              <w14:schemeClr w14:val="tx1"/>
            </w14:solidFill>
          </w14:textFill>
        </w:rPr>
        <w:t>对中国民生银行股份有限公司西安分行公证债权文书一案</w:t>
      </w:r>
      <w:r>
        <w:rPr>
          <w:rFonts w:hint="eastAsia" w:ascii="仿宋_GB2312" w:hAnsi="宋体" w:eastAsia="仿宋_GB2312"/>
          <w:color w:val="000000" w:themeColor="text1"/>
          <w:sz w:val="28"/>
          <w:szCs w:val="28"/>
          <w:highlight w:val="none"/>
          <w14:textFill>
            <w14:solidFill>
              <w14:schemeClr w14:val="tx1"/>
            </w14:solidFill>
          </w14:textFill>
        </w:rPr>
        <w:t>涉及的</w:t>
      </w:r>
      <w:r>
        <w:rPr>
          <w:rFonts w:hint="eastAsia" w:ascii="仿宋_GB2312" w:hAnsi="宋体" w:eastAsia="仿宋_GB2312"/>
          <w:color w:val="000000" w:themeColor="text1"/>
          <w:sz w:val="28"/>
          <w:szCs w:val="28"/>
          <w:highlight w:val="none"/>
          <w:lang w:eastAsia="zh-CN"/>
          <w14:textFill>
            <w14:solidFill>
              <w14:schemeClr w14:val="tx1"/>
            </w14:solidFill>
          </w14:textFill>
        </w:rPr>
        <w:t>被执行人宁夏宏兴天然气股份有限公司</w:t>
      </w:r>
      <w:bookmarkEnd w:id="4"/>
      <w:r>
        <w:rPr>
          <w:rFonts w:hint="eastAsia" w:ascii="仿宋_GB2312" w:hAnsi="宋体" w:eastAsia="仿宋_GB2312"/>
          <w:color w:val="000000" w:themeColor="text1"/>
          <w:sz w:val="28"/>
          <w:szCs w:val="28"/>
          <w:highlight w:val="none"/>
          <w14:textFill>
            <w14:solidFill>
              <w14:schemeClr w14:val="tx1"/>
            </w14:solidFill>
          </w14:textFill>
        </w:rPr>
        <w:t>相关资产在评估基准日的市场价值进行了评估。现将评估报告摘要如下：</w:t>
      </w:r>
    </w:p>
    <w:p>
      <w:pPr>
        <w:snapToGrid w:val="0"/>
        <w:spacing w:line="360" w:lineRule="auto"/>
        <w:ind w:firstLine="562" w:firstLineChars="200"/>
        <w:rPr>
          <w:rFonts w:ascii="仿宋_GB2312" w:hAnsi="宋体" w:eastAsia="仿宋_GB2312"/>
          <w:sz w:val="28"/>
          <w:szCs w:val="28"/>
          <w:highlight w:val="none"/>
        </w:rPr>
      </w:pPr>
      <w:r>
        <w:rPr>
          <w:rFonts w:ascii="仿宋_GB2312" w:hAnsi="宋体" w:eastAsia="仿宋_GB2312"/>
          <w:b/>
          <w:sz w:val="28"/>
          <w:szCs w:val="28"/>
          <w:highlight w:val="none"/>
        </w:rPr>
        <w:t>评估目的</w:t>
      </w:r>
      <w:r>
        <w:rPr>
          <w:rFonts w:hint="eastAsia" w:ascii="仿宋_GB2312" w:hAnsi="宋体" w:eastAsia="仿宋_GB2312"/>
          <w:sz w:val="28"/>
          <w:szCs w:val="28"/>
          <w:highlight w:val="none"/>
        </w:rPr>
        <w:t>：为</w:t>
      </w:r>
      <w:r>
        <w:rPr>
          <w:rFonts w:hint="eastAsia" w:ascii="仿宋_GB2312" w:hAnsi="宋体" w:eastAsia="仿宋_GB2312"/>
          <w:sz w:val="28"/>
          <w:szCs w:val="28"/>
          <w:highlight w:val="none"/>
          <w:lang w:eastAsia="zh-CN"/>
        </w:rPr>
        <w:t>永宁县人民法院</w:t>
      </w:r>
      <w:r>
        <w:rPr>
          <w:rFonts w:hint="eastAsia" w:ascii="仿宋_GB2312" w:hAnsi="宋体" w:eastAsia="仿宋_GB2312"/>
          <w:sz w:val="28"/>
          <w:szCs w:val="28"/>
          <w:highlight w:val="none"/>
        </w:rPr>
        <w:t>确定</w:t>
      </w:r>
      <w:r>
        <w:rPr>
          <w:rFonts w:hint="eastAsia" w:ascii="仿宋_GB2312" w:hAnsi="宋体" w:eastAsia="仿宋_GB2312"/>
          <w:color w:val="000000" w:themeColor="text1"/>
          <w:sz w:val="28"/>
          <w:szCs w:val="28"/>
          <w:highlight w:val="none"/>
          <w:lang w:eastAsia="zh-CN"/>
          <w14:textFill>
            <w14:solidFill>
              <w14:schemeClr w14:val="tx1"/>
            </w14:solidFill>
          </w14:textFill>
        </w:rPr>
        <w:t>中国民生银行股份有限公司西安分行与被执行人宁夏宏兴新能源开发有限公司、宁夏宏兴石油有限责任公司、宁夏宏兴天然气股份有限公司、宁夏美格商贸有限公司 、贺兰县宏兴油气有限公司、宁夏宏兴石油有限责任公司银汝加油站、贺兰县宏兴公共交通有限公司、刘学红、张英萍、刘娟、刘奇峰公证债权文书一案</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中</w:t>
      </w:r>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ascii="仿宋_GB2312" w:hAnsi="宋体" w:eastAsia="仿宋_GB2312"/>
          <w:sz w:val="28"/>
          <w:szCs w:val="28"/>
          <w:highlight w:val="none"/>
        </w:rPr>
        <w:t>相关资产的财产处置参考价提供服务。</w:t>
      </w:r>
    </w:p>
    <w:p>
      <w:pPr>
        <w:snapToGrid w:val="0"/>
        <w:spacing w:line="360" w:lineRule="auto"/>
        <w:ind w:firstLine="562" w:firstLineChars="200"/>
        <w:rPr>
          <w:rFonts w:ascii="仿宋_GB2312" w:hAnsi="宋体" w:eastAsia="仿宋_GB2312"/>
          <w:sz w:val="28"/>
          <w:szCs w:val="28"/>
          <w:highlight w:val="none"/>
        </w:rPr>
      </w:pPr>
      <w:r>
        <w:rPr>
          <w:rFonts w:ascii="仿宋_GB2312" w:hAnsi="宋体" w:eastAsia="仿宋_GB2312"/>
          <w:b/>
          <w:sz w:val="28"/>
          <w:szCs w:val="28"/>
          <w:highlight w:val="none"/>
        </w:rPr>
        <w:t>评估对象</w:t>
      </w:r>
      <w:r>
        <w:rPr>
          <w:rFonts w:hint="eastAsia" w:ascii="仿宋_GB2312" w:hAnsi="宋体" w:eastAsia="仿宋_GB2312"/>
          <w:sz w:val="28"/>
          <w:szCs w:val="28"/>
          <w:highlight w:val="none"/>
        </w:rPr>
        <w:t>：</w:t>
      </w:r>
      <w:bookmarkStart w:id="5" w:name="_Hlk82449838"/>
      <w:r>
        <w:rPr>
          <w:rFonts w:hint="eastAsia" w:ascii="仿宋_GB2312" w:hAnsi="宋体" w:eastAsia="仿宋_GB2312"/>
          <w:color w:val="000000" w:themeColor="text1"/>
          <w:sz w:val="28"/>
          <w:szCs w:val="28"/>
          <w:highlight w:val="none"/>
          <w:lang w:eastAsia="zh-CN"/>
          <w14:textFill>
            <w14:solidFill>
              <w14:schemeClr w14:val="tx1"/>
            </w14:solidFill>
          </w14:textFill>
        </w:rPr>
        <w:t>中国民生银行股份有限公司西安分行公证债权文书一案</w:t>
      </w:r>
      <w:r>
        <w:rPr>
          <w:rFonts w:hint="eastAsia" w:ascii="仿宋_GB2312" w:hAnsi="宋体" w:eastAsia="仿宋_GB2312"/>
          <w:sz w:val="28"/>
          <w:szCs w:val="28"/>
          <w:highlight w:val="none"/>
        </w:rPr>
        <w:t>涉及的</w:t>
      </w:r>
      <w:r>
        <w:rPr>
          <w:rFonts w:hint="eastAsia" w:ascii="仿宋_GB2312" w:hAnsi="宋体" w:eastAsia="仿宋_GB2312"/>
          <w:sz w:val="28"/>
          <w:szCs w:val="28"/>
          <w:highlight w:val="none"/>
          <w:lang w:val="en-US" w:eastAsia="zh-CN"/>
        </w:rPr>
        <w:t>被执行人</w:t>
      </w:r>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eastAsia="仿宋_GB2312"/>
          <w:sz w:val="28"/>
          <w:highlight w:val="none"/>
        </w:rPr>
        <w:t>相关资产</w:t>
      </w:r>
      <w:r>
        <w:rPr>
          <w:rFonts w:hint="eastAsia" w:ascii="仿宋_GB2312" w:hAnsi="宋体" w:eastAsia="仿宋_GB2312"/>
          <w:sz w:val="28"/>
          <w:szCs w:val="28"/>
          <w:highlight w:val="none"/>
        </w:rPr>
        <w:t>。</w:t>
      </w:r>
      <w:bookmarkEnd w:id="5"/>
    </w:p>
    <w:p>
      <w:pPr>
        <w:adjustRightInd w:val="0"/>
        <w:snapToGrid w:val="0"/>
        <w:spacing w:line="360" w:lineRule="auto"/>
        <w:ind w:firstLine="562" w:firstLineChars="200"/>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ascii="仿宋_GB2312" w:hAnsi="宋体" w:eastAsia="仿宋_GB2312"/>
          <w:b/>
          <w:sz w:val="28"/>
          <w:szCs w:val="28"/>
          <w:highlight w:val="none"/>
        </w:rPr>
        <w:t>评估范围</w:t>
      </w:r>
      <w:r>
        <w:rPr>
          <w:rFonts w:hint="eastAsia" w:ascii="仿宋_GB2312" w:hAnsi="宋体" w:eastAsia="仿宋_GB2312"/>
          <w:sz w:val="28"/>
          <w:szCs w:val="28"/>
          <w:highlight w:val="none"/>
        </w:rPr>
        <w:t>：</w:t>
      </w:r>
      <w:bookmarkStart w:id="6" w:name="_Hlk79658174"/>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ascii="仿宋_GB2312" w:hAnsi="宋体" w:eastAsia="仿宋_GB2312"/>
          <w:sz w:val="28"/>
          <w:szCs w:val="28"/>
          <w:highlight w:val="none"/>
        </w:rPr>
        <w:t>的</w:t>
      </w:r>
      <w:r>
        <w:rPr>
          <w:rFonts w:hint="eastAsia" w:eastAsia="仿宋_GB2312" w:cs="Times New Roman"/>
          <w:color w:val="000000" w:themeColor="text1"/>
          <w:sz w:val="28"/>
          <w:szCs w:val="28"/>
          <w:highlight w:val="none"/>
          <w:lang w:val="en-US" w:eastAsia="zh-CN"/>
          <w14:textFill>
            <w14:solidFill>
              <w14:schemeClr w14:val="tx1"/>
            </w14:solidFill>
          </w14:textFill>
        </w:rPr>
        <w:t>38项</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机器设备及</w:t>
      </w:r>
      <w:r>
        <w:rPr>
          <w:rFonts w:hint="eastAsia" w:eastAsia="仿宋_GB2312" w:cs="Times New Roman"/>
          <w:color w:val="000000" w:themeColor="text1"/>
          <w:sz w:val="28"/>
          <w:szCs w:val="28"/>
          <w:highlight w:val="none"/>
          <w:lang w:val="en-US" w:eastAsia="zh-CN"/>
          <w14:textFill>
            <w14:solidFill>
              <w14:schemeClr w14:val="tx1"/>
            </w14:solidFill>
          </w14:textFill>
        </w:rPr>
        <w:t>32项</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电子设备 </w:t>
      </w:r>
      <w:r>
        <w:rPr>
          <w:rFonts w:hint="default" w:ascii="Times New Roman" w:hAnsi="Times New Roman" w:eastAsia="仿宋_GB2312" w:cs="Times New Roman"/>
          <w:sz w:val="28"/>
          <w:szCs w:val="28"/>
          <w:highlight w:val="none"/>
        </w:rPr>
        <w:t>。</w:t>
      </w:r>
    </w:p>
    <w:bookmarkEnd w:id="6"/>
    <w:p>
      <w:pPr>
        <w:snapToGrid w:val="0"/>
        <w:spacing w:line="360" w:lineRule="auto"/>
        <w:ind w:firstLine="562" w:firstLineChars="200"/>
        <w:rPr>
          <w:rFonts w:eastAsia="仿宋_GB2312"/>
          <w:sz w:val="28"/>
          <w:szCs w:val="28"/>
          <w:highlight w:val="none"/>
        </w:rPr>
      </w:pPr>
      <w:r>
        <w:rPr>
          <w:rFonts w:eastAsia="仿宋_GB2312"/>
          <w:b/>
          <w:sz w:val="28"/>
          <w:szCs w:val="28"/>
          <w:highlight w:val="none"/>
        </w:rPr>
        <w:t>评估基准日</w:t>
      </w:r>
      <w:r>
        <w:rPr>
          <w:rFonts w:eastAsia="仿宋_GB2312"/>
          <w:sz w:val="28"/>
          <w:szCs w:val="28"/>
          <w:highlight w:val="none"/>
        </w:rPr>
        <w:t>：</w:t>
      </w:r>
      <w:r>
        <w:rPr>
          <w:rFonts w:hint="eastAsia" w:eastAsia="仿宋_GB2312"/>
          <w:sz w:val="28"/>
          <w:szCs w:val="28"/>
          <w:highlight w:val="none"/>
          <w:lang w:eastAsia="zh-CN"/>
        </w:rPr>
        <w:t>2023年3月28日</w:t>
      </w:r>
      <w:r>
        <w:rPr>
          <w:rFonts w:eastAsia="仿宋_GB2312"/>
          <w:sz w:val="28"/>
          <w:szCs w:val="28"/>
          <w:highlight w:val="none"/>
        </w:rPr>
        <w:t>。</w:t>
      </w:r>
    </w:p>
    <w:p>
      <w:pPr>
        <w:snapToGrid w:val="0"/>
        <w:spacing w:line="360" w:lineRule="auto"/>
        <w:ind w:firstLine="562" w:firstLineChars="200"/>
        <w:rPr>
          <w:rFonts w:ascii="仿宋_GB2312" w:hAnsi="宋体" w:eastAsia="仿宋_GB2312"/>
          <w:sz w:val="28"/>
          <w:szCs w:val="28"/>
          <w:highlight w:val="none"/>
        </w:rPr>
      </w:pPr>
      <w:r>
        <w:rPr>
          <w:rFonts w:ascii="仿宋_GB2312" w:hAnsi="宋体" w:eastAsia="仿宋_GB2312"/>
          <w:b/>
          <w:sz w:val="28"/>
          <w:szCs w:val="28"/>
          <w:highlight w:val="none"/>
        </w:rPr>
        <w:t>价值类型</w:t>
      </w:r>
      <w:r>
        <w:rPr>
          <w:rFonts w:hint="eastAsia" w:ascii="仿宋_GB2312" w:hAnsi="宋体" w:eastAsia="仿宋_GB2312"/>
          <w:sz w:val="28"/>
          <w:szCs w:val="28"/>
          <w:highlight w:val="none"/>
        </w:rPr>
        <w:t>:</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市场价值。</w:t>
      </w:r>
    </w:p>
    <w:p>
      <w:pPr>
        <w:snapToGrid w:val="0"/>
        <w:spacing w:line="360" w:lineRule="auto"/>
        <w:ind w:firstLine="562" w:firstLineChars="200"/>
        <w:rPr>
          <w:rFonts w:ascii="仿宋_GB2312" w:hAnsi="宋体" w:eastAsia="仿宋_GB2312"/>
          <w:sz w:val="28"/>
          <w:szCs w:val="28"/>
          <w:highlight w:val="none"/>
        </w:rPr>
      </w:pPr>
      <w:r>
        <w:rPr>
          <w:rFonts w:ascii="仿宋_GB2312" w:hAnsi="宋体" w:eastAsia="仿宋_GB2312"/>
          <w:b/>
          <w:sz w:val="28"/>
          <w:szCs w:val="28"/>
          <w:highlight w:val="none"/>
        </w:rPr>
        <w:t>评估方法</w:t>
      </w:r>
      <w:r>
        <w:rPr>
          <w:rFonts w:hint="eastAsia" w:ascii="仿宋_GB2312" w:hAnsi="宋体" w:eastAsia="仿宋_GB2312"/>
          <w:sz w:val="28"/>
          <w:szCs w:val="28"/>
          <w:highlight w:val="none"/>
        </w:rPr>
        <w:t>：成本法。</w:t>
      </w:r>
    </w:p>
    <w:p>
      <w:pPr>
        <w:snapToGrid w:val="0"/>
        <w:spacing w:line="360" w:lineRule="auto"/>
        <w:ind w:firstLine="562" w:firstLineChars="200"/>
        <w:rPr>
          <w:rFonts w:eastAsia="仿宋_GB2312"/>
          <w:sz w:val="28"/>
          <w:szCs w:val="28"/>
          <w:highlight w:val="none"/>
        </w:rPr>
      </w:pPr>
      <w:r>
        <w:rPr>
          <w:rFonts w:ascii="仿宋_GB2312" w:hAnsi="宋体" w:eastAsia="仿宋_GB2312"/>
          <w:b/>
          <w:sz w:val="28"/>
          <w:szCs w:val="28"/>
          <w:highlight w:val="none"/>
        </w:rPr>
        <w:t>评估结论</w:t>
      </w:r>
      <w:r>
        <w:rPr>
          <w:rFonts w:hint="eastAsia" w:ascii="仿宋_GB2312" w:hAnsi="宋体" w:eastAsia="仿宋_GB2312"/>
          <w:sz w:val="28"/>
          <w:szCs w:val="28"/>
          <w:highlight w:val="none"/>
        </w:rPr>
        <w:t>：经评估，</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本次委估</w:t>
      </w:r>
      <w:r>
        <w:rPr>
          <w:rFonts w:eastAsia="仿宋_GB2312"/>
          <w:sz w:val="28"/>
          <w:szCs w:val="28"/>
          <w:highlight w:val="none"/>
        </w:rPr>
        <w:t>的</w:t>
      </w:r>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相关资产</w:t>
      </w:r>
      <w:r>
        <w:rPr>
          <w:rFonts w:hint="eastAsia" w:eastAsia="仿宋_GB2312"/>
          <w:sz w:val="28"/>
          <w:szCs w:val="28"/>
          <w:highlight w:val="none"/>
          <w:lang w:val="en-US" w:eastAsia="zh-CN"/>
        </w:rPr>
        <w:t>评估</w:t>
      </w:r>
      <w:r>
        <w:rPr>
          <w:rFonts w:eastAsia="仿宋_GB2312"/>
          <w:sz w:val="28"/>
          <w:szCs w:val="28"/>
          <w:highlight w:val="none"/>
        </w:rPr>
        <w:t>价值为</w:t>
      </w:r>
      <w:r>
        <w:rPr>
          <w:rFonts w:hint="eastAsia" w:eastAsia="仿宋_GB2312"/>
          <w:bCs/>
          <w:sz w:val="28"/>
          <w:szCs w:val="28"/>
          <w:highlight w:val="none"/>
          <w:lang w:val="en-US" w:eastAsia="zh-CN"/>
        </w:rPr>
        <w:t>314.03</w:t>
      </w:r>
      <w:r>
        <w:rPr>
          <w:rFonts w:eastAsia="仿宋_GB2312"/>
          <w:sz w:val="28"/>
          <w:szCs w:val="28"/>
          <w:highlight w:val="none"/>
        </w:rPr>
        <w:t>万元。</w:t>
      </w:r>
    </w:p>
    <w:p>
      <w:pPr>
        <w:pStyle w:val="20"/>
        <w:ind w:firstLine="560" w:firstLineChars="200"/>
        <w:rPr>
          <w:rFonts w:ascii="Times New Roman"/>
          <w:szCs w:val="28"/>
          <w:highlight w:val="none"/>
        </w:rPr>
      </w:pPr>
      <w:r>
        <w:rPr>
          <w:rFonts w:ascii="Times New Roman"/>
          <w:szCs w:val="28"/>
          <w:highlight w:val="none"/>
        </w:rPr>
        <w:t>评估结论的使用有效期：自评估基准日</w:t>
      </w:r>
      <w:r>
        <w:rPr>
          <w:rFonts w:hint="eastAsia" w:ascii="Times New Roman"/>
          <w:szCs w:val="28"/>
          <w:highlight w:val="none"/>
          <w:lang w:eastAsia="zh-CN"/>
        </w:rPr>
        <w:t>2023年3月28日</w:t>
      </w:r>
      <w:r>
        <w:rPr>
          <w:rFonts w:ascii="Times New Roman"/>
          <w:szCs w:val="28"/>
          <w:highlight w:val="none"/>
        </w:rPr>
        <w:t>起一年有效。</w:t>
      </w:r>
    </w:p>
    <w:p>
      <w:pPr>
        <w:pStyle w:val="20"/>
        <w:ind w:firstLine="562" w:firstLineChars="200"/>
        <w:rPr>
          <w:color w:val="000000" w:themeColor="text1"/>
          <w:szCs w:val="28"/>
          <w:highlight w:val="none"/>
          <w14:textFill>
            <w14:solidFill>
              <w14:schemeClr w14:val="tx1"/>
            </w14:solidFill>
          </w14:textFill>
        </w:rPr>
      </w:pPr>
      <w:r>
        <w:rPr>
          <w:rFonts w:hAnsi="宋体"/>
          <w:b/>
          <w:szCs w:val="28"/>
          <w:highlight w:val="none"/>
        </w:rPr>
        <w:t>重大特别事项</w:t>
      </w:r>
      <w:r>
        <w:rPr>
          <w:rFonts w:hint="eastAsia" w:hAnsi="宋体"/>
          <w:szCs w:val="28"/>
          <w:highlight w:val="none"/>
        </w:rPr>
        <w:t>：</w:t>
      </w:r>
      <w:bookmarkStart w:id="7" w:name="_Hlk82461806"/>
      <w:bookmarkStart w:id="8" w:name="_Hlk80347585"/>
    </w:p>
    <w:bookmarkEnd w:id="7"/>
    <w:bookmarkEnd w:id="8"/>
    <w:p>
      <w:pPr>
        <w:numPr>
          <w:ilvl w:val="0"/>
          <w:numId w:val="2"/>
        </w:numPr>
        <w:snapToGrid w:val="0"/>
        <w:spacing w:line="360" w:lineRule="auto"/>
        <w:ind w:left="0" w:leftChars="0" w:firstLine="560" w:firstLineChars="200"/>
        <w:rPr>
          <w:rFonts w:hint="eastAsia" w:eastAsia="仿宋_GB2312"/>
          <w:bCs/>
          <w:sz w:val="28"/>
          <w:szCs w:val="24"/>
          <w:highlight w:val="none"/>
          <w:lang w:val="en-US" w:eastAsia="zh-CN"/>
        </w:rPr>
      </w:pPr>
      <w:r>
        <w:rPr>
          <w:rFonts w:hint="eastAsia" w:eastAsia="仿宋_GB2312"/>
          <w:bCs/>
          <w:sz w:val="28"/>
          <w:szCs w:val="24"/>
          <w:highlight w:val="none"/>
          <w:lang w:val="en-US" w:eastAsia="zh-CN"/>
        </w:rPr>
        <w:t>本次评估结果是基于永宁县人民法院、宁夏宏兴天然气股份有限公司提供的现有资料和评估人员现场查看、核实记录的相关信息进行客观分析测算形成。</w:t>
      </w:r>
    </w:p>
    <w:p>
      <w:pPr>
        <w:numPr>
          <w:ilvl w:val="0"/>
          <w:numId w:val="2"/>
        </w:numPr>
        <w:snapToGrid w:val="0"/>
        <w:spacing w:line="360" w:lineRule="auto"/>
        <w:ind w:left="0" w:leftChars="0" w:firstLine="560" w:firstLineChars="200"/>
        <w:rPr>
          <w:rFonts w:hint="eastAsia" w:eastAsia="仿宋_GB2312"/>
          <w:bCs/>
          <w:sz w:val="28"/>
          <w:szCs w:val="24"/>
          <w:highlight w:val="none"/>
          <w:lang w:val="en-US" w:eastAsia="zh-CN"/>
        </w:rPr>
      </w:pPr>
      <w:r>
        <w:rPr>
          <w:rFonts w:hint="eastAsia" w:eastAsia="仿宋_GB2312"/>
          <w:bCs/>
          <w:sz w:val="28"/>
          <w:szCs w:val="24"/>
          <w:highlight w:val="none"/>
          <w:lang w:val="en-US" w:eastAsia="zh-CN"/>
        </w:rPr>
        <w:t>本次评估范围是在主办法官和评估人员共同核查并对</w:t>
      </w:r>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eastAsia="仿宋_GB2312"/>
          <w:bCs/>
          <w:sz w:val="28"/>
          <w:szCs w:val="24"/>
          <w:highlight w:val="none"/>
          <w:lang w:val="en-US" w:eastAsia="zh-CN"/>
        </w:rPr>
        <w:t>提供的现有资料进行分析基础上确定，以此作为评估测算的依据。</w:t>
      </w:r>
    </w:p>
    <w:p>
      <w:pPr>
        <w:numPr>
          <w:ilvl w:val="0"/>
          <w:numId w:val="2"/>
        </w:numPr>
        <w:snapToGrid w:val="0"/>
        <w:spacing w:line="360" w:lineRule="auto"/>
        <w:ind w:left="0" w:leftChars="0" w:firstLine="560" w:firstLineChars="200"/>
        <w:rPr>
          <w:rFonts w:hint="eastAsia" w:eastAsia="仿宋_GB2312"/>
          <w:bCs/>
          <w:sz w:val="28"/>
          <w:szCs w:val="24"/>
          <w:highlight w:val="none"/>
          <w:lang w:val="en-US" w:eastAsia="zh-CN"/>
        </w:rPr>
      </w:pPr>
      <w:r>
        <w:rPr>
          <w:rFonts w:hint="eastAsia" w:eastAsia="仿宋_GB2312"/>
          <w:bCs/>
          <w:sz w:val="28"/>
          <w:szCs w:val="24"/>
          <w:highlight w:val="none"/>
          <w:lang w:val="en-US" w:eastAsia="zh-CN"/>
        </w:rPr>
        <w:t>在</w:t>
      </w:r>
      <w:r>
        <w:rPr>
          <w:rFonts w:hint="eastAsia" w:eastAsia="仿宋_GB2312"/>
          <w:bCs/>
          <w:sz w:val="28"/>
          <w:szCs w:val="24"/>
          <w:highlight w:val="none"/>
          <w:lang w:eastAsia="zh-CN"/>
        </w:rPr>
        <w:t>本次</w:t>
      </w:r>
      <w:r>
        <w:rPr>
          <w:rFonts w:hint="eastAsia" w:eastAsia="仿宋_GB2312"/>
          <w:bCs/>
          <w:sz w:val="28"/>
          <w:szCs w:val="24"/>
          <w:highlight w:val="none"/>
          <w:lang w:val="en-US" w:eastAsia="zh-CN"/>
        </w:rPr>
        <w:t>评估过程中</w:t>
      </w:r>
      <w:r>
        <w:rPr>
          <w:rFonts w:hint="eastAsia" w:eastAsia="仿宋_GB2312"/>
          <w:bCs/>
          <w:sz w:val="28"/>
          <w:szCs w:val="24"/>
          <w:highlight w:val="none"/>
          <w:lang w:eastAsia="zh-CN"/>
        </w:rPr>
        <w:t>，因受客观条件及测量手段限制，</w:t>
      </w:r>
      <w:r>
        <w:rPr>
          <w:rFonts w:hint="eastAsia" w:eastAsia="仿宋_GB2312"/>
          <w:bCs/>
          <w:sz w:val="28"/>
          <w:szCs w:val="24"/>
          <w:highlight w:val="none"/>
          <w:lang w:val="en-US" w:eastAsia="zh-CN"/>
        </w:rPr>
        <w:t>且</w:t>
      </w:r>
      <w:r>
        <w:rPr>
          <w:rFonts w:hint="eastAsia" w:eastAsia="仿宋_GB2312"/>
          <w:bCs/>
          <w:sz w:val="28"/>
          <w:szCs w:val="24"/>
          <w:highlight w:val="none"/>
          <w:lang w:eastAsia="zh-CN"/>
        </w:rPr>
        <w:t>永宁县人民法</w:t>
      </w:r>
      <w:r>
        <w:rPr>
          <w:rFonts w:hint="eastAsia" w:eastAsia="仿宋_GB2312"/>
          <w:bCs/>
          <w:sz w:val="28"/>
          <w:szCs w:val="24"/>
          <w:highlight w:val="none"/>
          <w:lang w:val="en-US" w:eastAsia="zh-CN"/>
        </w:rPr>
        <w:t>院及相关当事人未提供齐全的隐蔽工程施工资料，对隐蔽工程是在</w:t>
      </w:r>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eastAsia="仿宋_GB2312"/>
          <w:bCs/>
          <w:sz w:val="28"/>
          <w:szCs w:val="24"/>
          <w:highlight w:val="none"/>
          <w:lang w:val="en-US" w:eastAsia="zh-CN"/>
        </w:rPr>
        <w:t>申报基础上，结合现场勘察的实际情况进行核实判断，其相关数据已经永宁县人民法院确认。</w:t>
      </w:r>
    </w:p>
    <w:p>
      <w:pPr>
        <w:numPr>
          <w:ilvl w:val="0"/>
          <w:numId w:val="2"/>
        </w:numPr>
        <w:snapToGrid w:val="0"/>
        <w:spacing w:line="360" w:lineRule="auto"/>
        <w:ind w:left="0" w:leftChars="0" w:firstLine="560" w:firstLineChars="200"/>
        <w:rPr>
          <w:rFonts w:hint="eastAsia" w:eastAsia="仿宋_GB2312"/>
          <w:bCs/>
          <w:sz w:val="28"/>
          <w:szCs w:val="24"/>
          <w:highlight w:val="none"/>
          <w:lang w:eastAsia="zh-CN"/>
        </w:rPr>
      </w:pPr>
      <w:r>
        <w:rPr>
          <w:rFonts w:hint="eastAsia" w:eastAsia="仿宋_GB2312"/>
          <w:bCs/>
          <w:sz w:val="28"/>
          <w:szCs w:val="24"/>
          <w:highlight w:val="none"/>
          <w:lang w:eastAsia="zh-CN"/>
        </w:rPr>
        <w:t>本次评估未考虑资产处置过程中所发生的各项税费、拍卖费、诉讼费等费用对评估结论的影响。</w:t>
      </w:r>
    </w:p>
    <w:p>
      <w:pPr>
        <w:numPr>
          <w:ilvl w:val="0"/>
          <w:numId w:val="2"/>
        </w:numPr>
        <w:snapToGrid w:val="0"/>
        <w:spacing w:line="360" w:lineRule="auto"/>
        <w:ind w:left="0" w:leftChars="0" w:firstLine="560" w:firstLineChars="200"/>
        <w:rPr>
          <w:rFonts w:hint="eastAsia" w:eastAsia="仿宋_GB2312"/>
          <w:bCs/>
          <w:sz w:val="28"/>
          <w:szCs w:val="24"/>
          <w:highlight w:val="none"/>
          <w:lang w:eastAsia="zh-CN"/>
        </w:rPr>
      </w:pPr>
      <w:r>
        <w:rPr>
          <w:rFonts w:hint="eastAsia" w:eastAsia="仿宋_GB2312"/>
          <w:bCs/>
          <w:sz w:val="28"/>
          <w:szCs w:val="24"/>
          <w:highlight w:val="none"/>
          <w:lang w:eastAsia="zh-CN"/>
        </w:rPr>
        <w:t>本报告未考虑委估资产强制处分、快速变现等因素对评估结论的影响。</w:t>
      </w:r>
    </w:p>
    <w:p>
      <w:pPr>
        <w:numPr>
          <w:ilvl w:val="0"/>
          <w:numId w:val="2"/>
        </w:numPr>
        <w:snapToGrid w:val="0"/>
        <w:spacing w:line="360" w:lineRule="auto"/>
        <w:ind w:left="0" w:leftChars="0" w:firstLine="560" w:firstLineChars="200"/>
        <w:rPr>
          <w:rFonts w:eastAsia="仿宋_GB2312"/>
          <w:color w:val="000000" w:themeColor="text1"/>
          <w:sz w:val="28"/>
          <w:szCs w:val="28"/>
          <w:highlight w:val="none"/>
          <w14:textFill>
            <w14:solidFill>
              <w14:schemeClr w14:val="tx1"/>
            </w14:solidFill>
          </w14:textFill>
        </w:rPr>
      </w:pPr>
      <w:r>
        <w:rPr>
          <w:rFonts w:hint="eastAsia" w:eastAsia="仿宋_GB2312"/>
          <w:bCs/>
          <w:sz w:val="28"/>
          <w:szCs w:val="24"/>
          <w:highlight w:val="none"/>
          <w:lang w:eastAsia="zh-CN"/>
        </w:rPr>
        <w:t>本次委估资产评估结果含增值税。</w:t>
      </w:r>
    </w:p>
    <w:p>
      <w:pPr>
        <w:pStyle w:val="20"/>
        <w:ind w:firstLine="562" w:firstLineChars="200"/>
        <w:rPr>
          <w:b/>
          <w:highlight w:val="none"/>
        </w:rPr>
      </w:pPr>
      <w:r>
        <w:rPr>
          <w:rFonts w:hint="eastAsia" w:hAnsi="宋体"/>
          <w:b/>
          <w:szCs w:val="28"/>
          <w:highlight w:val="none"/>
        </w:rPr>
        <w:t>以上内容摘自资产评估报告正文，欲了解本评估业务的详细情况和正确理解评估结论，应当阅读资产评估报告正文。</w:t>
      </w:r>
    </w:p>
    <w:p>
      <w:pPr>
        <w:tabs>
          <w:tab w:val="left" w:pos="3780"/>
        </w:tabs>
        <w:spacing w:before="480" w:beforeLines="200" w:line="360" w:lineRule="auto"/>
        <w:jc w:val="center"/>
        <w:rPr>
          <w:rFonts w:hint="eastAsia" w:ascii="宋体" w:hAnsi="宋体"/>
          <w:b/>
          <w:color w:val="000000" w:themeColor="text1"/>
          <w:spacing w:val="30"/>
          <w:sz w:val="32"/>
          <w:szCs w:val="32"/>
          <w:highlight w:val="none"/>
          <w:lang w:eastAsia="zh-CN"/>
          <w14:textFill>
            <w14:solidFill>
              <w14:schemeClr w14:val="tx1"/>
            </w14:solidFill>
          </w14:textFill>
        </w:rPr>
      </w:pPr>
      <w:r>
        <w:rPr>
          <w:szCs w:val="28"/>
          <w:highlight w:val="none"/>
        </w:rPr>
        <w:br w:type="page"/>
      </w:r>
      <w:r>
        <w:rPr>
          <w:rFonts w:hint="eastAsia" w:ascii="宋体" w:hAnsi="宋体"/>
          <w:b/>
          <w:color w:val="000000" w:themeColor="text1"/>
          <w:spacing w:val="30"/>
          <w:sz w:val="32"/>
          <w:szCs w:val="32"/>
          <w:highlight w:val="none"/>
          <w:lang w:eastAsia="zh-CN"/>
          <w14:textFill>
            <w14:solidFill>
              <w14:schemeClr w14:val="tx1"/>
            </w14:solidFill>
          </w14:textFill>
        </w:rPr>
        <w:t>永宁县人民法院拟财产处置所涉及的</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rPr>
          <w:rFonts w:ascii="宋体" w:hAnsi="宋体"/>
          <w:b/>
          <w:color w:val="000000" w:themeColor="text1"/>
          <w:spacing w:val="30"/>
          <w:sz w:val="32"/>
          <w:szCs w:val="32"/>
          <w:highlight w:val="none"/>
          <w14:textFill>
            <w14:solidFill>
              <w14:schemeClr w14:val="tx1"/>
            </w14:solidFill>
          </w14:textFill>
        </w:rPr>
      </w:pPr>
      <w:r>
        <w:rPr>
          <w:rFonts w:hint="eastAsia" w:ascii="宋体" w:hAnsi="宋体"/>
          <w:b/>
          <w:color w:val="000000" w:themeColor="text1"/>
          <w:spacing w:val="30"/>
          <w:sz w:val="32"/>
          <w:szCs w:val="32"/>
          <w:highlight w:val="none"/>
          <w:lang w:eastAsia="zh-CN"/>
          <w14:textFill>
            <w14:solidFill>
              <w14:schemeClr w14:val="tx1"/>
            </w14:solidFill>
          </w14:textFill>
        </w:rPr>
        <w:t>宁夏宏兴天然气股份有限公司相关资产项目</w:t>
      </w:r>
    </w:p>
    <w:p>
      <w:pPr>
        <w:spacing w:after="240" w:afterLines="100"/>
        <w:jc w:val="center"/>
        <w:outlineLvl w:val="0"/>
        <w:rPr>
          <w:rFonts w:ascii="黑体" w:eastAsia="黑体"/>
          <w:b/>
          <w:color w:val="000000" w:themeColor="text1"/>
          <w:sz w:val="44"/>
          <w:szCs w:val="44"/>
          <w:highlight w:val="none"/>
          <w14:textFill>
            <w14:solidFill>
              <w14:schemeClr w14:val="tx1"/>
            </w14:solidFill>
          </w14:textFill>
        </w:rPr>
      </w:pPr>
      <w:bookmarkStart w:id="9" w:name="_Toc8262"/>
      <w:r>
        <w:rPr>
          <w:rFonts w:hint="eastAsia" w:ascii="黑体" w:eastAsia="黑体"/>
          <w:b/>
          <w:color w:val="000000" w:themeColor="text1"/>
          <w:sz w:val="44"/>
          <w:szCs w:val="44"/>
          <w:highlight w:val="none"/>
          <w14:textFill>
            <w14:solidFill>
              <w14:schemeClr w14:val="tx1"/>
            </w14:solidFill>
          </w14:textFill>
        </w:rPr>
        <w:t>资产评估报告</w:t>
      </w:r>
      <w:bookmarkEnd w:id="9"/>
    </w:p>
    <w:p>
      <w:pPr>
        <w:spacing w:after="240" w:afterLines="100"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中和评报字（202</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）第</w:t>
      </w:r>
      <w:r>
        <w:rPr>
          <w:rFonts w:hint="eastAsia"/>
          <w:color w:val="000000" w:themeColor="text1"/>
          <w:sz w:val="24"/>
          <w:highlight w:val="none"/>
          <w:lang w:val="en-US" w:eastAsia="zh-CN"/>
          <w14:textFill>
            <w14:solidFill>
              <w14:schemeClr w14:val="tx1"/>
            </w14:solidFill>
          </w14:textFill>
        </w:rPr>
        <w:t>YCL</w:t>
      </w:r>
      <w:r>
        <w:rPr>
          <w:color w:val="000000" w:themeColor="text1"/>
          <w:sz w:val="24"/>
          <w:highlight w:val="none"/>
          <w14:textFill>
            <w14:solidFill>
              <w14:schemeClr w14:val="tx1"/>
            </w14:solidFill>
          </w14:textFill>
        </w:rPr>
        <w:t>10</w:t>
      </w:r>
      <w:r>
        <w:rPr>
          <w:rFonts w:hint="eastAsia"/>
          <w:color w:val="000000" w:themeColor="text1"/>
          <w:sz w:val="24"/>
          <w:highlight w:val="none"/>
          <w:lang w:val="en-US" w:eastAsia="zh-CN"/>
          <w14:textFill>
            <w14:solidFill>
              <w14:schemeClr w14:val="tx1"/>
            </w14:solidFill>
          </w14:textFill>
        </w:rPr>
        <w:t>09</w:t>
      </w:r>
      <w:r>
        <w:rPr>
          <w:color w:val="000000" w:themeColor="text1"/>
          <w:sz w:val="24"/>
          <w:highlight w:val="none"/>
          <w14:textFill>
            <w14:solidFill>
              <w14:schemeClr w14:val="tx1"/>
            </w14:solidFill>
          </w14:textFill>
        </w:rPr>
        <w:t>号</w:t>
      </w:r>
    </w:p>
    <w:p>
      <w:pPr>
        <w:snapToGrid w:val="0"/>
        <w:spacing w:line="360" w:lineRule="auto"/>
        <w:rPr>
          <w:b/>
          <w:color w:val="000000" w:themeColor="text1"/>
          <w:highlight w:val="none"/>
          <w14:textFill>
            <w14:solidFill>
              <w14:schemeClr w14:val="tx1"/>
            </w14:solidFill>
          </w14:textFill>
        </w:rPr>
      </w:pPr>
      <w:r>
        <w:rPr>
          <w:rFonts w:hint="eastAsia" w:ascii="仿宋_GB2312" w:hAnsi="宋体" w:eastAsia="仿宋_GB2312"/>
          <w:b/>
          <w:color w:val="000000" w:themeColor="text1"/>
          <w:sz w:val="28"/>
          <w:szCs w:val="28"/>
          <w:highlight w:val="none"/>
          <w:lang w:eastAsia="zh-CN"/>
          <w14:textFill>
            <w14:solidFill>
              <w14:schemeClr w14:val="tx1"/>
            </w14:solidFill>
          </w14:textFill>
        </w:rPr>
        <w:t>永宁县人民法院</w:t>
      </w:r>
      <w:r>
        <w:rPr>
          <w:rFonts w:hint="eastAsia" w:ascii="仿宋_GB2312" w:hAnsi="宋体" w:eastAsia="仿宋_GB2312"/>
          <w:b/>
          <w:color w:val="000000" w:themeColor="text1"/>
          <w:w w:val="95"/>
          <w:sz w:val="28"/>
          <w:szCs w:val="28"/>
          <w:highlight w:val="none"/>
          <w14:textFill>
            <w14:solidFill>
              <w14:schemeClr w14:val="tx1"/>
            </w14:solidFill>
          </w14:textFill>
        </w:rPr>
        <w:t>：</w:t>
      </w:r>
    </w:p>
    <w:p>
      <w:pPr>
        <w:snapToGrid w:val="0"/>
        <w:spacing w:line="360" w:lineRule="auto"/>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中和资产评估有限公司(以下简称“本资产评估机构”)接受贵单位的委托，按照法律、行政法规和资产评估准则的规定，坚持独立、客观和公正的原则，采用成本法，按照必要的评估程序，</w:t>
      </w:r>
      <w:r>
        <w:rPr>
          <w:rFonts w:hint="eastAsia" w:ascii="仿宋_GB2312" w:hAnsi="宋体" w:eastAsia="仿宋_GB2312"/>
          <w:color w:val="000000" w:themeColor="text1"/>
          <w:sz w:val="28"/>
          <w:szCs w:val="28"/>
          <w:highlight w:val="none"/>
          <w:lang w:eastAsia="zh-CN"/>
          <w14:textFill>
            <w14:solidFill>
              <w14:schemeClr w14:val="tx1"/>
            </w14:solidFill>
          </w14:textFill>
        </w:rPr>
        <w:t>对中国民生银行股份有限公司西安分行公证债权文书一案</w:t>
      </w:r>
      <w:r>
        <w:rPr>
          <w:rFonts w:hint="eastAsia" w:ascii="仿宋_GB2312" w:hAnsi="宋体" w:eastAsia="仿宋_GB2312"/>
          <w:color w:val="000000" w:themeColor="text1"/>
          <w:sz w:val="28"/>
          <w:szCs w:val="28"/>
          <w:highlight w:val="none"/>
          <w14:textFill>
            <w14:solidFill>
              <w14:schemeClr w14:val="tx1"/>
            </w14:solidFill>
          </w14:textFill>
        </w:rPr>
        <w:t>涉及的</w:t>
      </w:r>
      <w:r>
        <w:rPr>
          <w:rFonts w:hint="eastAsia" w:ascii="仿宋_GB2312" w:hAnsi="宋体" w:eastAsia="仿宋_GB2312"/>
          <w:color w:val="000000" w:themeColor="text1"/>
          <w:sz w:val="28"/>
          <w:szCs w:val="28"/>
          <w:highlight w:val="none"/>
          <w:lang w:eastAsia="zh-CN"/>
          <w14:textFill>
            <w14:solidFill>
              <w14:schemeClr w14:val="tx1"/>
            </w14:solidFill>
          </w14:textFill>
        </w:rPr>
        <w:t>被执行人宁夏宏兴天然气股份有限公司</w:t>
      </w:r>
      <w:r>
        <w:rPr>
          <w:rFonts w:hint="eastAsia" w:ascii="仿宋_GB2312" w:hAnsi="宋体" w:eastAsia="仿宋_GB2312"/>
          <w:color w:val="000000" w:themeColor="text1"/>
          <w:sz w:val="28"/>
          <w:szCs w:val="28"/>
          <w:highlight w:val="none"/>
          <w14:textFill>
            <w14:solidFill>
              <w14:schemeClr w14:val="tx1"/>
            </w14:solidFill>
          </w14:textFill>
        </w:rPr>
        <w:t>相关资产在评估基准日</w:t>
      </w:r>
      <w:r>
        <w:rPr>
          <w:rFonts w:hint="eastAsia" w:eastAsia="仿宋_GB2312"/>
          <w:color w:val="000000" w:themeColor="text1"/>
          <w:sz w:val="28"/>
          <w:szCs w:val="28"/>
          <w:highlight w:val="none"/>
          <w:lang w:eastAsia="zh-CN"/>
          <w14:textFill>
            <w14:solidFill>
              <w14:schemeClr w14:val="tx1"/>
            </w14:solidFill>
          </w14:textFill>
        </w:rPr>
        <w:t>2023年3月</w:t>
      </w:r>
      <w:r>
        <w:rPr>
          <w:rFonts w:hint="eastAsia" w:eastAsia="仿宋_GB2312"/>
          <w:color w:val="000000" w:themeColor="text1"/>
          <w:sz w:val="28"/>
          <w:szCs w:val="28"/>
          <w:highlight w:val="none"/>
          <w:lang w:val="en-US" w:eastAsia="zh-CN"/>
          <w14:textFill>
            <w14:solidFill>
              <w14:schemeClr w14:val="tx1"/>
            </w14:solidFill>
          </w14:textFill>
        </w:rPr>
        <w:t>28</w:t>
      </w:r>
      <w:r>
        <w:rPr>
          <w:rFonts w:hint="eastAsia" w:eastAsia="仿宋_GB2312"/>
          <w:color w:val="000000" w:themeColor="text1"/>
          <w:sz w:val="28"/>
          <w:szCs w:val="28"/>
          <w:highlight w:val="none"/>
          <w:lang w:eastAsia="zh-CN"/>
          <w14:textFill>
            <w14:solidFill>
              <w14:schemeClr w14:val="tx1"/>
            </w14:solidFill>
          </w14:textFill>
        </w:rPr>
        <w:t>日</w:t>
      </w:r>
      <w:r>
        <w:rPr>
          <w:rFonts w:hint="eastAsia" w:ascii="仿宋_GB2312" w:hAnsi="宋体" w:eastAsia="仿宋_GB2312"/>
          <w:color w:val="000000" w:themeColor="text1"/>
          <w:sz w:val="28"/>
          <w:szCs w:val="28"/>
          <w:highlight w:val="none"/>
          <w14:textFill>
            <w14:solidFill>
              <w14:schemeClr w14:val="tx1"/>
            </w14:solidFill>
          </w14:textFill>
        </w:rPr>
        <w:t>的市场价值进行了评估。现将资产评估情况报告如下：</w:t>
      </w:r>
    </w:p>
    <w:p>
      <w:pPr>
        <w:pStyle w:val="4"/>
        <w:ind w:left="567" w:hanging="567"/>
        <w:rPr>
          <w:rFonts w:ascii="仿宋_GB2312" w:eastAsia="仿宋_GB2312"/>
          <w:sz w:val="28"/>
          <w:szCs w:val="28"/>
          <w:highlight w:val="none"/>
        </w:rPr>
      </w:pPr>
      <w:bookmarkStart w:id="10" w:name="_Toc10782"/>
      <w:r>
        <w:rPr>
          <w:rFonts w:hint="eastAsia" w:ascii="仿宋_GB2312" w:eastAsia="仿宋_GB2312"/>
          <w:sz w:val="28"/>
          <w:szCs w:val="28"/>
          <w:highlight w:val="none"/>
        </w:rPr>
        <w:t>委托人、产权持有人及其他评估报告使用人</w:t>
      </w:r>
      <w:bookmarkEnd w:id="10"/>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委托人：</w:t>
      </w:r>
      <w:r>
        <w:rPr>
          <w:rFonts w:hint="eastAsia" w:eastAsia="仿宋_GB2312"/>
          <w:color w:val="000000" w:themeColor="text1"/>
          <w:sz w:val="28"/>
          <w:highlight w:val="none"/>
          <w:lang w:eastAsia="zh-CN"/>
          <w14:textFill>
            <w14:solidFill>
              <w14:schemeClr w14:val="tx1"/>
            </w14:solidFill>
          </w14:textFill>
        </w:rPr>
        <w:t>永宁县人民法院</w:t>
      </w:r>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产权持有人：</w:t>
      </w:r>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（一）委托人简介</w:t>
      </w:r>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委托人：</w:t>
      </w:r>
      <w:r>
        <w:rPr>
          <w:rFonts w:hint="eastAsia" w:eastAsia="仿宋_GB2312"/>
          <w:color w:val="000000" w:themeColor="text1"/>
          <w:sz w:val="28"/>
          <w:highlight w:val="none"/>
          <w:lang w:eastAsia="zh-CN"/>
          <w14:textFill>
            <w14:solidFill>
              <w14:schemeClr w14:val="tx1"/>
            </w14:solidFill>
          </w14:textFill>
        </w:rPr>
        <w:t>永宁县人民法院</w:t>
      </w:r>
    </w:p>
    <w:p>
      <w:pPr>
        <w:tabs>
          <w:tab w:val="left" w:pos="1080"/>
        </w:tabs>
        <w:adjustRightInd w:val="0"/>
        <w:snapToGrid w:val="0"/>
        <w:spacing w:line="360" w:lineRule="auto"/>
        <w:ind w:firstLine="560" w:firstLineChars="200"/>
        <w:rPr>
          <w:rFonts w:hint="eastAsia"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地址：宁夏永宁县宁和北街1号</w:t>
      </w:r>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val="en-US"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主办法官：</w:t>
      </w:r>
      <w:r>
        <w:rPr>
          <w:rFonts w:hint="eastAsia" w:eastAsia="仿宋_GB2312"/>
          <w:color w:val="000000" w:themeColor="text1"/>
          <w:sz w:val="28"/>
          <w:highlight w:val="none"/>
          <w:lang w:val="en-US" w:eastAsia="zh-CN"/>
          <w14:textFill>
            <w14:solidFill>
              <w14:schemeClr w14:val="tx1"/>
            </w14:solidFill>
          </w14:textFill>
        </w:rPr>
        <w:t>李宁</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（二）产权持有人简介</w:t>
      </w:r>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名称：</w:t>
      </w:r>
      <w:r>
        <w:rPr>
          <w:rFonts w:hint="eastAsia" w:eastAsia="仿宋_GB2312"/>
          <w:color w:val="000000" w:themeColor="text1"/>
          <w:sz w:val="28"/>
          <w:highlight w:val="none"/>
          <w:lang w:eastAsia="zh-CN"/>
          <w14:textFill>
            <w14:solidFill>
              <w14:schemeClr w14:val="tx1"/>
            </w14:solidFill>
          </w14:textFill>
        </w:rPr>
        <w:t>宁夏宏兴天然气股份有限公司</w:t>
      </w:r>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lang w:eastAsia="zh-CN"/>
          <w14:textFill>
            <w14:solidFill>
              <w14:schemeClr w14:val="tx1"/>
            </w14:solidFill>
          </w14:textFill>
        </w:rPr>
        <w:t>类型：</w:t>
      </w:r>
      <w:r>
        <w:rPr>
          <w:rFonts w:hint="default" w:eastAsia="仿宋_GB2312"/>
          <w:color w:val="000000" w:themeColor="text1"/>
          <w:sz w:val="28"/>
          <w:highlight w:val="none"/>
          <w:lang w:val="en-US" w:eastAsia="zh-CN"/>
          <w14:textFill>
            <w14:solidFill>
              <w14:schemeClr w14:val="tx1"/>
            </w14:solidFill>
          </w14:textFill>
        </w:rPr>
        <w:t>有限责任公司</w:t>
      </w:r>
      <w:r>
        <w:rPr>
          <w:rFonts w:hint="eastAsia" w:eastAsia="仿宋_GB2312"/>
          <w:color w:val="000000" w:themeColor="text1"/>
          <w:sz w:val="28"/>
          <w:highlight w:val="none"/>
          <w:lang w:val="en-US" w:eastAsia="zh-CN"/>
          <w14:textFill>
            <w14:solidFill>
              <w14:schemeClr w14:val="tx1"/>
            </w14:solidFill>
          </w14:textFill>
        </w:rPr>
        <w:t>（</w:t>
      </w:r>
      <w:r>
        <w:rPr>
          <w:rFonts w:hint="default" w:eastAsia="仿宋_GB2312"/>
          <w:color w:val="000000" w:themeColor="text1"/>
          <w:sz w:val="28"/>
          <w:highlight w:val="none"/>
          <w:lang w:val="en-US" w:eastAsia="zh-CN"/>
          <w14:textFill>
            <w14:solidFill>
              <w14:schemeClr w14:val="tx1"/>
            </w14:solidFill>
          </w14:textFill>
        </w:rPr>
        <w:t>自然人投资或控股</w:t>
      </w:r>
      <w:r>
        <w:rPr>
          <w:rFonts w:hint="eastAsia" w:eastAsia="仿宋_GB2312"/>
          <w:color w:val="000000" w:themeColor="text1"/>
          <w:sz w:val="28"/>
          <w:highlight w:val="none"/>
          <w:lang w:val="en-US" w:eastAsia="zh-CN"/>
          <w14:textFill>
            <w14:solidFill>
              <w14:schemeClr w14:val="tx1"/>
            </w14:solidFill>
          </w14:textFill>
        </w:rPr>
        <w:t>）</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住所：银川市金凤区宝湖路南侧</w:t>
      </w:r>
    </w:p>
    <w:p>
      <w:pPr>
        <w:tabs>
          <w:tab w:val="left" w:pos="1080"/>
        </w:tabs>
        <w:adjustRightInd w:val="0"/>
        <w:snapToGrid w:val="0"/>
        <w:spacing w:line="360" w:lineRule="auto"/>
        <w:ind w:firstLine="560" w:firstLineChars="200"/>
        <w:rPr>
          <w:rFonts w:hint="default" w:eastAsia="仿宋_GB2312"/>
          <w:color w:val="000000" w:themeColor="text1"/>
          <w:sz w:val="28"/>
          <w:highlight w:val="none"/>
          <w:lang w:val="en-US"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法定代表人：</w:t>
      </w:r>
      <w:r>
        <w:rPr>
          <w:rFonts w:hint="eastAsia" w:eastAsia="仿宋_GB2312"/>
          <w:color w:val="000000" w:themeColor="text1"/>
          <w:sz w:val="28"/>
          <w:highlight w:val="none"/>
          <w:lang w:val="en-US" w:eastAsia="zh-CN"/>
          <w14:textFill>
            <w14:solidFill>
              <w14:schemeClr w14:val="tx1"/>
            </w14:solidFill>
          </w14:textFill>
        </w:rPr>
        <w:t>刘学红</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注册资本：</w:t>
      </w:r>
      <w:r>
        <w:rPr>
          <w:rFonts w:hint="eastAsia" w:eastAsia="仿宋_GB2312"/>
          <w:color w:val="000000" w:themeColor="text1"/>
          <w:sz w:val="28"/>
          <w:highlight w:val="none"/>
          <w:lang w:val="en-US" w:eastAsia="zh-CN"/>
          <w14:textFill>
            <w14:solidFill>
              <w14:schemeClr w14:val="tx1"/>
            </w14:solidFill>
          </w14:textFill>
        </w:rPr>
        <w:t>20</w:t>
      </w:r>
      <w:r>
        <w:rPr>
          <w:rFonts w:hint="eastAsia" w:eastAsia="仿宋_GB2312"/>
          <w:color w:val="000000" w:themeColor="text1"/>
          <w:sz w:val="28"/>
          <w:highlight w:val="none"/>
          <w14:textFill>
            <w14:solidFill>
              <w14:schemeClr w14:val="tx1"/>
            </w14:solidFill>
          </w14:textFill>
        </w:rPr>
        <w:t>0.00万元</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成立日期：200</w:t>
      </w:r>
      <w:r>
        <w:rPr>
          <w:rFonts w:hint="eastAsia" w:eastAsia="仿宋_GB2312"/>
          <w:color w:val="000000" w:themeColor="text1"/>
          <w:sz w:val="28"/>
          <w:highlight w:val="none"/>
          <w:lang w:val="en-US" w:eastAsia="zh-CN"/>
          <w14:textFill>
            <w14:solidFill>
              <w14:schemeClr w14:val="tx1"/>
            </w14:solidFill>
          </w14:textFill>
        </w:rPr>
        <w:t>6</w:t>
      </w:r>
      <w:r>
        <w:rPr>
          <w:rFonts w:hint="eastAsia" w:eastAsia="仿宋_GB2312"/>
          <w:color w:val="000000" w:themeColor="text1"/>
          <w:sz w:val="28"/>
          <w:highlight w:val="none"/>
          <w14:textFill>
            <w14:solidFill>
              <w14:schemeClr w14:val="tx1"/>
            </w14:solidFill>
          </w14:textFill>
        </w:rPr>
        <w:t>年</w:t>
      </w:r>
      <w:r>
        <w:rPr>
          <w:rFonts w:hint="eastAsia" w:eastAsia="仿宋_GB2312"/>
          <w:color w:val="000000" w:themeColor="text1"/>
          <w:sz w:val="28"/>
          <w:highlight w:val="none"/>
          <w:lang w:val="en-US" w:eastAsia="zh-CN"/>
          <w14:textFill>
            <w14:solidFill>
              <w14:schemeClr w14:val="tx1"/>
            </w14:solidFill>
          </w14:textFill>
        </w:rPr>
        <w:t>12</w:t>
      </w:r>
      <w:r>
        <w:rPr>
          <w:rFonts w:hint="eastAsia" w:eastAsia="仿宋_GB2312"/>
          <w:color w:val="000000" w:themeColor="text1"/>
          <w:sz w:val="28"/>
          <w:highlight w:val="none"/>
          <w14:textFill>
            <w14:solidFill>
              <w14:schemeClr w14:val="tx1"/>
            </w14:solidFill>
          </w14:textFill>
        </w:rPr>
        <w:t>月</w:t>
      </w:r>
      <w:r>
        <w:rPr>
          <w:rFonts w:hint="eastAsia" w:eastAsia="仿宋_GB2312"/>
          <w:color w:val="000000" w:themeColor="text1"/>
          <w:sz w:val="28"/>
          <w:highlight w:val="none"/>
          <w:lang w:val="en-US" w:eastAsia="zh-CN"/>
          <w14:textFill>
            <w14:solidFill>
              <w14:schemeClr w14:val="tx1"/>
            </w14:solidFill>
          </w14:textFill>
        </w:rPr>
        <w:t>13</w:t>
      </w:r>
      <w:r>
        <w:rPr>
          <w:rFonts w:hint="eastAsia" w:eastAsia="仿宋_GB2312"/>
          <w:color w:val="000000" w:themeColor="text1"/>
          <w:sz w:val="28"/>
          <w:highlight w:val="none"/>
          <w14:textFill>
            <w14:solidFill>
              <w14:schemeClr w14:val="tx1"/>
            </w14:solidFill>
          </w14:textFill>
        </w:rPr>
        <w:t>日</w:t>
      </w:r>
    </w:p>
    <w:p>
      <w:pPr>
        <w:tabs>
          <w:tab w:val="left" w:pos="1080"/>
        </w:tabs>
        <w:adjustRightInd w:val="0"/>
        <w:snapToGrid w:val="0"/>
        <w:spacing w:line="360" w:lineRule="auto"/>
        <w:ind w:firstLine="560" w:firstLineChars="200"/>
        <w:rPr>
          <w:rFonts w:hint="eastAsia" w:eastAsia="仿宋_GB2312"/>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营业期限：</w:t>
      </w:r>
      <w:r>
        <w:rPr>
          <w:rFonts w:hint="eastAsia" w:eastAsia="仿宋_GB2312"/>
          <w:color w:val="000000" w:themeColor="text1"/>
          <w:sz w:val="28"/>
          <w:highlight w:val="none"/>
          <w:lang w:val="en-US" w:eastAsia="zh-CN"/>
          <w14:textFill>
            <w14:solidFill>
              <w14:schemeClr w14:val="tx1"/>
            </w14:solidFill>
          </w14:textFill>
        </w:rPr>
        <w:t>长期</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统一社会信用代码：91640100788236034A</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登记状态：存续（在营、开业、在册）</w:t>
      </w:r>
    </w:p>
    <w:p>
      <w:pPr>
        <w:tabs>
          <w:tab w:val="left" w:pos="1080"/>
        </w:tabs>
        <w:adjustRightInd w:val="0"/>
        <w:snapToGrid w:val="0"/>
        <w:spacing w:line="360" w:lineRule="auto"/>
        <w:ind w:firstLine="560" w:firstLineChars="200"/>
        <w:rPr>
          <w:rFonts w:hint="eastAsia"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经营范围：法律、法规禁止的，不得经营；应经审批的，未获审批前不得经营；法律、法规未规定审批的，企业自主选择经营项目，开展经营活动。</w:t>
      </w:r>
    </w:p>
    <w:p>
      <w:pPr>
        <w:tabs>
          <w:tab w:val="left" w:pos="1080"/>
        </w:tabs>
        <w:adjustRightInd w:val="0"/>
        <w:snapToGrid w:val="0"/>
        <w:spacing w:line="360" w:lineRule="auto"/>
        <w:ind w:firstLine="560" w:firstLineChars="200"/>
        <w:rPr>
          <w:rFonts w:hint="eastAsia"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lang w:eastAsia="zh-CN"/>
          <w14:textFill>
            <w14:solidFill>
              <w14:schemeClr w14:val="tx1"/>
            </w14:solidFill>
          </w14:textFill>
        </w:rPr>
        <w:t>宁夏宏兴天然气股份有限公司</w:t>
      </w:r>
      <w:r>
        <w:rPr>
          <w:rFonts w:hint="eastAsia" w:eastAsia="仿宋_GB2312"/>
          <w:color w:val="000000" w:themeColor="text1"/>
          <w:sz w:val="28"/>
          <w:highlight w:val="none"/>
          <w14:textFill>
            <w14:solidFill>
              <w14:schemeClr w14:val="tx1"/>
            </w14:solidFill>
          </w14:textFill>
        </w:rPr>
        <w:t>注册资本</w:t>
      </w:r>
      <w:r>
        <w:rPr>
          <w:rFonts w:hint="eastAsia" w:eastAsia="仿宋_GB2312"/>
          <w:color w:val="000000" w:themeColor="text1"/>
          <w:sz w:val="28"/>
          <w:highlight w:val="none"/>
          <w:lang w:val="en-US" w:eastAsia="zh-CN"/>
          <w14:textFill>
            <w14:solidFill>
              <w14:schemeClr w14:val="tx1"/>
            </w14:solidFill>
          </w14:textFill>
        </w:rPr>
        <w:t>20</w:t>
      </w:r>
      <w:r>
        <w:rPr>
          <w:rFonts w:hint="eastAsia" w:eastAsia="仿宋_GB2312"/>
          <w:color w:val="000000" w:themeColor="text1"/>
          <w:sz w:val="28"/>
          <w:highlight w:val="none"/>
          <w14:textFill>
            <w14:solidFill>
              <w14:schemeClr w14:val="tx1"/>
            </w14:solidFill>
          </w14:textFill>
        </w:rPr>
        <w:t>0万元，股东构成为：自然人股东刘学红出资</w:t>
      </w:r>
      <w:r>
        <w:rPr>
          <w:rFonts w:hint="eastAsia" w:eastAsia="仿宋_GB2312"/>
          <w:color w:val="000000" w:themeColor="text1"/>
          <w:sz w:val="28"/>
          <w:highlight w:val="none"/>
          <w:lang w:val="en-US" w:eastAsia="zh-CN"/>
          <w14:textFill>
            <w14:solidFill>
              <w14:schemeClr w14:val="tx1"/>
            </w14:solidFill>
          </w14:textFill>
        </w:rPr>
        <w:t>16</w:t>
      </w:r>
      <w:r>
        <w:rPr>
          <w:rFonts w:hint="eastAsia" w:eastAsia="仿宋_GB2312"/>
          <w:color w:val="000000" w:themeColor="text1"/>
          <w:sz w:val="28"/>
          <w:highlight w:val="none"/>
          <w14:textFill>
            <w14:solidFill>
              <w14:schemeClr w14:val="tx1"/>
            </w14:solidFill>
          </w14:textFill>
        </w:rPr>
        <w:t>0万元，占注册资本的80%；自然人股东张英萍出资</w:t>
      </w:r>
      <w:r>
        <w:rPr>
          <w:rFonts w:hint="eastAsia" w:eastAsia="仿宋_GB2312"/>
          <w:color w:val="000000" w:themeColor="text1"/>
          <w:sz w:val="28"/>
          <w:highlight w:val="none"/>
          <w:lang w:val="en-US" w:eastAsia="zh-CN"/>
          <w14:textFill>
            <w14:solidFill>
              <w14:schemeClr w14:val="tx1"/>
            </w14:solidFill>
          </w14:textFill>
        </w:rPr>
        <w:t>4</w:t>
      </w:r>
      <w:r>
        <w:rPr>
          <w:rFonts w:hint="eastAsia" w:eastAsia="仿宋_GB2312"/>
          <w:color w:val="000000" w:themeColor="text1"/>
          <w:sz w:val="28"/>
          <w:highlight w:val="none"/>
          <w14:textFill>
            <w14:solidFill>
              <w14:schemeClr w14:val="tx1"/>
            </w14:solidFill>
          </w14:textFill>
        </w:rPr>
        <w:t>0万元，占注册资本的20%</w:t>
      </w:r>
      <w:r>
        <w:rPr>
          <w:rFonts w:hint="eastAsia" w:eastAsia="仿宋_GB2312"/>
          <w:color w:val="000000" w:themeColor="text1"/>
          <w:sz w:val="28"/>
          <w:highlight w:val="none"/>
          <w:lang w:eastAsia="zh-CN"/>
          <w14:textFill>
            <w14:solidFill>
              <w14:schemeClr w14:val="tx1"/>
            </w14:solidFill>
          </w14:textFill>
        </w:rPr>
        <w:t>。</w:t>
      </w:r>
      <w:r>
        <w:rPr>
          <w:rFonts w:hint="eastAsia" w:eastAsia="仿宋_GB2312"/>
          <w:color w:val="000000" w:themeColor="text1"/>
          <w:sz w:val="28"/>
          <w:highlight w:val="none"/>
          <w:lang w:val="en-US" w:eastAsia="zh-CN"/>
          <w14:textFill>
            <w14:solidFill>
              <w14:schemeClr w14:val="tx1"/>
            </w14:solidFill>
          </w14:textFill>
        </w:rPr>
        <w:t>经了解，</w:t>
      </w:r>
      <w:r>
        <w:rPr>
          <w:rFonts w:hint="eastAsia" w:eastAsia="仿宋_GB2312"/>
          <w:color w:val="000000" w:themeColor="text1"/>
          <w:sz w:val="28"/>
          <w:highlight w:val="none"/>
          <w:lang w:eastAsia="zh-CN"/>
          <w14:textFill>
            <w14:solidFill>
              <w14:schemeClr w14:val="tx1"/>
            </w14:solidFill>
          </w14:textFill>
        </w:rPr>
        <w:t>宁夏宏兴天然气股份有限公司</w:t>
      </w:r>
      <w:r>
        <w:rPr>
          <w:rFonts w:hint="eastAsia" w:eastAsia="仿宋_GB2312"/>
          <w:color w:val="000000" w:themeColor="text1"/>
          <w:sz w:val="28"/>
          <w:highlight w:val="none"/>
          <w:lang w:val="en-US" w:eastAsia="zh-CN"/>
          <w14:textFill>
            <w14:solidFill>
              <w14:schemeClr w14:val="tx1"/>
            </w14:solidFill>
          </w14:textFill>
        </w:rPr>
        <w:t>目前处于持续经营状态，评估范围内相关资产仍在正常使用中。</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（三）委托人与产权持有人的关系</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委托人为</w:t>
      </w:r>
      <w:r>
        <w:rPr>
          <w:rFonts w:hint="eastAsia" w:ascii="仿宋_GB2312" w:hAnsi="宋体" w:eastAsia="仿宋_GB2312"/>
          <w:color w:val="000000" w:themeColor="text1"/>
          <w:sz w:val="28"/>
          <w:szCs w:val="28"/>
          <w:highlight w:val="none"/>
          <w:lang w:eastAsia="zh-CN"/>
          <w14:textFill>
            <w14:solidFill>
              <w14:schemeClr w14:val="tx1"/>
            </w14:solidFill>
          </w14:textFill>
        </w:rPr>
        <w:t>中国民生银行股份有限公司西安分行与被执行人宁夏宏兴新能源开发有限公司、宁夏宏兴石油有限责任公司、宁夏宏兴天然气股份有限公司、宁夏美格商贸有限公司 、贺兰县宏兴油气有限公司、宁夏宏兴石油有限责任公司银汝加油站、贺兰县宏兴公共交通有限公司、刘学红、张英萍、刘娟、刘奇峰公证债权文书一案</w:t>
      </w:r>
      <w:r>
        <w:rPr>
          <w:rFonts w:hint="eastAsia" w:eastAsia="仿宋_GB2312"/>
          <w:color w:val="000000" w:themeColor="text1"/>
          <w:sz w:val="28"/>
          <w:highlight w:val="none"/>
          <w14:textFill>
            <w14:solidFill>
              <w14:schemeClr w14:val="tx1"/>
            </w14:solidFill>
          </w14:textFill>
        </w:rPr>
        <w:t>涉案财产处置的执行法院，</w:t>
      </w:r>
      <w:r>
        <w:rPr>
          <w:rFonts w:hint="eastAsia" w:eastAsia="仿宋_GB2312"/>
          <w:color w:val="000000" w:themeColor="text1"/>
          <w:sz w:val="28"/>
          <w:highlight w:val="none"/>
          <w:lang w:eastAsia="zh-CN"/>
          <w14:textFill>
            <w14:solidFill>
              <w14:schemeClr w14:val="tx1"/>
            </w14:solidFill>
          </w14:textFill>
        </w:rPr>
        <w:t>宁夏宏兴天然气股份有限公司</w:t>
      </w:r>
      <w:r>
        <w:rPr>
          <w:rFonts w:hint="eastAsia" w:eastAsia="仿宋_GB2312"/>
          <w:color w:val="000000" w:themeColor="text1"/>
          <w:sz w:val="28"/>
          <w:highlight w:val="none"/>
          <w14:textFill>
            <w14:solidFill>
              <w14:schemeClr w14:val="tx1"/>
            </w14:solidFill>
          </w14:textFill>
        </w:rPr>
        <w:t>为涉案财产</w:t>
      </w:r>
      <w:r>
        <w:rPr>
          <w:rFonts w:hint="eastAsia" w:eastAsia="仿宋_GB2312"/>
          <w:color w:val="000000" w:themeColor="text1"/>
          <w:sz w:val="28"/>
          <w:highlight w:val="none"/>
          <w:lang w:val="en-US" w:eastAsia="zh-CN"/>
          <w14:textFill>
            <w14:solidFill>
              <w14:schemeClr w14:val="tx1"/>
            </w14:solidFill>
          </w14:textFill>
        </w:rPr>
        <w:t>被执行人</w:t>
      </w:r>
      <w:r>
        <w:rPr>
          <w:rFonts w:hint="eastAsia" w:eastAsia="仿宋_GB2312"/>
          <w:color w:val="000000" w:themeColor="text1"/>
          <w:sz w:val="28"/>
          <w:highlight w:val="none"/>
          <w14:textFill>
            <w14:solidFill>
              <w14:schemeClr w14:val="tx1"/>
            </w14:solidFill>
          </w14:textFill>
        </w:rPr>
        <w:t>。</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（四）其他评估报告使用人</w:t>
      </w:r>
    </w:p>
    <w:p>
      <w:pPr>
        <w:tabs>
          <w:tab w:val="left" w:pos="1080"/>
        </w:tabs>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本评估报告仅供委托人和法律、行政法规规定的评估报告使用人使用。</w:t>
      </w:r>
    </w:p>
    <w:p>
      <w:pPr>
        <w:pStyle w:val="4"/>
        <w:ind w:left="567" w:hanging="567"/>
        <w:rPr>
          <w:rFonts w:ascii="仿宋_GB2312" w:eastAsia="仿宋_GB2312"/>
          <w:sz w:val="28"/>
          <w:szCs w:val="28"/>
          <w:highlight w:val="none"/>
        </w:rPr>
      </w:pPr>
      <w:bookmarkStart w:id="11" w:name="_Toc16240"/>
      <w:r>
        <w:rPr>
          <w:rFonts w:ascii="仿宋_GB2312" w:eastAsia="仿宋_GB2312"/>
          <w:sz w:val="28"/>
          <w:szCs w:val="28"/>
          <w:highlight w:val="none"/>
        </w:rPr>
        <w:t>评估目的</w:t>
      </w:r>
      <w:bookmarkEnd w:id="11"/>
    </w:p>
    <w:p>
      <w:pPr>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因</w:t>
      </w:r>
      <w:bookmarkStart w:id="12" w:name="_Hlk77927706"/>
      <w:r>
        <w:rPr>
          <w:rFonts w:hint="eastAsia" w:ascii="仿宋_GB2312" w:hAnsi="宋体" w:eastAsia="仿宋_GB2312"/>
          <w:color w:val="000000" w:themeColor="text1"/>
          <w:sz w:val="28"/>
          <w:szCs w:val="28"/>
          <w:highlight w:val="none"/>
          <w:lang w:eastAsia="zh-CN"/>
          <w14:textFill>
            <w14:solidFill>
              <w14:schemeClr w14:val="tx1"/>
            </w14:solidFill>
          </w14:textFill>
        </w:rPr>
        <w:t>中国民生银行股份有限公司西安分行与被执行人宁夏宏兴新能源开发有限公司、宁夏宏兴石油有限责任公司、宁夏宏兴天然气股份有限公司、宁夏美格商贸有限公司、贺兰县宏兴油气有限公司、宁夏宏兴石油有限责任公司银汝加油站、贺兰县宏兴公共交通有限公司、刘学红、张英萍、刘娟、刘奇峰公证债权文书一案中，需确定宁夏宏兴天然气股份有限公司</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相关</w:t>
      </w:r>
      <w:r>
        <w:rPr>
          <w:rFonts w:hint="eastAsia" w:ascii="仿宋_GB2312" w:hAnsi="宋体" w:eastAsia="仿宋_GB2312"/>
          <w:color w:val="000000" w:themeColor="text1"/>
          <w:sz w:val="28"/>
          <w:szCs w:val="28"/>
          <w:highlight w:val="none"/>
          <w:lang w:eastAsia="zh-CN"/>
          <w14:textFill>
            <w14:solidFill>
              <w14:schemeClr w14:val="tx1"/>
            </w14:solidFill>
          </w14:textFill>
        </w:rPr>
        <w:t>财产的处置参考价</w:t>
      </w:r>
      <w:r>
        <w:rPr>
          <w:rFonts w:hint="eastAsia" w:eastAsia="仿宋_GB2312"/>
          <w:color w:val="000000" w:themeColor="text1"/>
          <w:sz w:val="28"/>
          <w:highlight w:val="none"/>
          <w14:textFill>
            <w14:solidFill>
              <w14:schemeClr w14:val="tx1"/>
            </w14:solidFill>
          </w14:textFill>
        </w:rPr>
        <w:t>，</w:t>
      </w:r>
      <w:r>
        <w:rPr>
          <w:rFonts w:hint="eastAsia" w:eastAsia="仿宋_GB2312"/>
          <w:color w:val="000000" w:themeColor="text1"/>
          <w:sz w:val="28"/>
          <w:highlight w:val="none"/>
          <w:lang w:eastAsia="zh-CN"/>
          <w14:textFill>
            <w14:solidFill>
              <w14:schemeClr w14:val="tx1"/>
            </w14:solidFill>
          </w14:textFill>
        </w:rPr>
        <w:t>永宁县人民法院</w:t>
      </w:r>
      <w:r>
        <w:rPr>
          <w:rFonts w:hint="eastAsia" w:eastAsia="仿宋_GB2312"/>
          <w:color w:val="000000" w:themeColor="text1"/>
          <w:sz w:val="28"/>
          <w:highlight w:val="none"/>
          <w14:textFill>
            <w14:solidFill>
              <w14:schemeClr w14:val="tx1"/>
            </w14:solidFill>
          </w14:textFill>
        </w:rPr>
        <w:t>委托本资产评估机构对案件涉及的</w:t>
      </w:r>
      <w:bookmarkEnd w:id="12"/>
      <w:r>
        <w:rPr>
          <w:rFonts w:hint="eastAsia" w:ascii="仿宋_GB2312" w:hAnsi="宋体" w:eastAsia="仿宋_GB2312"/>
          <w:color w:val="000000" w:themeColor="text1"/>
          <w:sz w:val="28"/>
          <w:szCs w:val="28"/>
          <w:highlight w:val="none"/>
          <w:lang w:eastAsia="zh-CN"/>
          <w14:textFill>
            <w14:solidFill>
              <w14:schemeClr w14:val="tx1"/>
            </w14:solidFill>
          </w14:textFill>
        </w:rPr>
        <w:t>宁夏宏兴天然气股份有限公司</w:t>
      </w:r>
      <w:r>
        <w:rPr>
          <w:rFonts w:hint="eastAsia" w:eastAsia="仿宋_GB2312"/>
          <w:color w:val="000000" w:themeColor="text1"/>
          <w:sz w:val="28"/>
          <w:highlight w:val="none"/>
          <w14:textFill>
            <w14:solidFill>
              <w14:schemeClr w14:val="tx1"/>
            </w14:solidFill>
          </w14:textFill>
        </w:rPr>
        <w:t>相关资产进行评估，以确定其在评估基准日</w:t>
      </w:r>
      <w:r>
        <w:rPr>
          <w:rFonts w:hint="eastAsia" w:eastAsia="仿宋_GB2312"/>
          <w:color w:val="000000" w:themeColor="text1"/>
          <w:sz w:val="28"/>
          <w:highlight w:val="none"/>
          <w:lang w:eastAsia="zh-CN"/>
          <w14:textFill>
            <w14:solidFill>
              <w14:schemeClr w14:val="tx1"/>
            </w14:solidFill>
          </w14:textFill>
        </w:rPr>
        <w:t>2023年3月</w:t>
      </w:r>
      <w:r>
        <w:rPr>
          <w:rFonts w:hint="eastAsia" w:eastAsia="仿宋_GB2312"/>
          <w:color w:val="000000" w:themeColor="text1"/>
          <w:sz w:val="28"/>
          <w:highlight w:val="none"/>
          <w:lang w:val="en-US" w:eastAsia="zh-CN"/>
          <w14:textFill>
            <w14:solidFill>
              <w14:schemeClr w14:val="tx1"/>
            </w14:solidFill>
          </w14:textFill>
        </w:rPr>
        <w:t>28</w:t>
      </w:r>
      <w:r>
        <w:rPr>
          <w:rFonts w:hint="eastAsia" w:eastAsia="仿宋_GB2312"/>
          <w:color w:val="000000" w:themeColor="text1"/>
          <w:sz w:val="28"/>
          <w:highlight w:val="none"/>
          <w:lang w:eastAsia="zh-CN"/>
          <w14:textFill>
            <w14:solidFill>
              <w14:schemeClr w14:val="tx1"/>
            </w14:solidFill>
          </w14:textFill>
        </w:rPr>
        <w:t>日</w:t>
      </w:r>
      <w:r>
        <w:rPr>
          <w:rFonts w:hint="eastAsia" w:eastAsia="仿宋_GB2312"/>
          <w:color w:val="000000" w:themeColor="text1"/>
          <w:sz w:val="28"/>
          <w:highlight w:val="none"/>
          <w14:textFill>
            <w14:solidFill>
              <w14:schemeClr w14:val="tx1"/>
            </w14:solidFill>
          </w14:textFill>
        </w:rPr>
        <w:t>的市场价值，为</w:t>
      </w:r>
      <w:r>
        <w:rPr>
          <w:rFonts w:hint="eastAsia" w:eastAsia="仿宋_GB2312"/>
          <w:color w:val="000000" w:themeColor="text1"/>
          <w:sz w:val="28"/>
          <w:highlight w:val="none"/>
          <w:lang w:eastAsia="zh-CN"/>
          <w14:textFill>
            <w14:solidFill>
              <w14:schemeClr w14:val="tx1"/>
            </w14:solidFill>
          </w14:textFill>
        </w:rPr>
        <w:t>永宁县人民法院</w:t>
      </w:r>
      <w:r>
        <w:rPr>
          <w:rFonts w:hint="eastAsia" w:eastAsia="仿宋_GB2312"/>
          <w:color w:val="000000" w:themeColor="text1"/>
          <w:sz w:val="28"/>
          <w:highlight w:val="none"/>
          <w14:textFill>
            <w14:solidFill>
              <w14:schemeClr w14:val="tx1"/>
            </w14:solidFill>
          </w14:textFill>
        </w:rPr>
        <w:t>确定财产处置参考价提供服务。</w:t>
      </w:r>
    </w:p>
    <w:p>
      <w:pPr>
        <w:pStyle w:val="4"/>
        <w:ind w:left="567" w:hanging="567"/>
        <w:rPr>
          <w:rFonts w:ascii="仿宋_GB2312" w:eastAsia="仿宋_GB2312"/>
          <w:sz w:val="28"/>
          <w:szCs w:val="28"/>
          <w:highlight w:val="none"/>
        </w:rPr>
      </w:pPr>
      <w:bookmarkStart w:id="13" w:name="_Toc4827"/>
      <w:r>
        <w:rPr>
          <w:rFonts w:ascii="仿宋_GB2312" w:eastAsia="仿宋_GB2312"/>
          <w:sz w:val="28"/>
          <w:szCs w:val="28"/>
          <w:highlight w:val="none"/>
        </w:rPr>
        <w:t>评估对象和评估范围</w:t>
      </w:r>
      <w:bookmarkEnd w:id="13"/>
    </w:p>
    <w:p>
      <w:pPr>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bookmarkStart w:id="14" w:name="_Hlk77927672"/>
      <w:r>
        <w:rPr>
          <w:rFonts w:hint="eastAsia" w:eastAsia="仿宋_GB2312"/>
          <w:color w:val="000000" w:themeColor="text1"/>
          <w:sz w:val="28"/>
          <w:highlight w:val="none"/>
          <w14:textFill>
            <w14:solidFill>
              <w14:schemeClr w14:val="tx1"/>
            </w14:solidFill>
          </w14:textFill>
        </w:rPr>
        <w:t>根据本次评估目的，评估对象是</w:t>
      </w:r>
      <w:r>
        <w:rPr>
          <w:rFonts w:hint="eastAsia" w:ascii="仿宋_GB2312" w:hAnsi="宋体" w:eastAsia="仿宋_GB2312"/>
          <w:color w:val="000000" w:themeColor="text1"/>
          <w:sz w:val="28"/>
          <w:szCs w:val="28"/>
          <w:highlight w:val="none"/>
          <w:lang w:eastAsia="zh-CN"/>
          <w14:textFill>
            <w14:solidFill>
              <w14:schemeClr w14:val="tx1"/>
            </w14:solidFill>
          </w14:textFill>
        </w:rPr>
        <w:t>中国民生银行股份有限公司西安分行公证债权文书一案</w:t>
      </w:r>
      <w:r>
        <w:rPr>
          <w:rFonts w:hint="eastAsia" w:ascii="仿宋_GB2312" w:hAnsi="宋体" w:eastAsia="仿宋_GB2312"/>
          <w:sz w:val="28"/>
          <w:szCs w:val="28"/>
          <w:highlight w:val="none"/>
        </w:rPr>
        <w:t>涉及的</w:t>
      </w:r>
      <w:r>
        <w:rPr>
          <w:rFonts w:hint="eastAsia" w:ascii="仿宋_GB2312" w:hAnsi="宋体" w:eastAsia="仿宋_GB2312"/>
          <w:color w:val="000000" w:themeColor="text1"/>
          <w:sz w:val="28"/>
          <w:szCs w:val="28"/>
          <w:highlight w:val="none"/>
          <w:lang w:eastAsia="zh-CN"/>
          <w14:textFill>
            <w14:solidFill>
              <w14:schemeClr w14:val="tx1"/>
            </w14:solidFill>
          </w14:textFill>
        </w:rPr>
        <w:t>被执行人宁夏宏兴天然气股份有限公司</w:t>
      </w:r>
      <w:r>
        <w:rPr>
          <w:rFonts w:hint="eastAsia" w:eastAsia="仿宋_GB2312"/>
          <w:sz w:val="28"/>
          <w:highlight w:val="none"/>
        </w:rPr>
        <w:t>相关资产</w:t>
      </w:r>
      <w:r>
        <w:rPr>
          <w:rFonts w:hint="eastAsia" w:eastAsia="仿宋_GB2312"/>
          <w:color w:val="000000" w:themeColor="text1"/>
          <w:sz w:val="28"/>
          <w:highlight w:val="none"/>
          <w14:textFill>
            <w14:solidFill>
              <w14:schemeClr w14:val="tx1"/>
            </w14:solidFill>
          </w14:textFill>
        </w:rPr>
        <w:t>。</w:t>
      </w:r>
    </w:p>
    <w:p>
      <w:pPr>
        <w:pStyle w:val="34"/>
        <w:snapToGrid w:val="0"/>
        <w:spacing w:before="60" w:after="60" w:line="360" w:lineRule="auto"/>
        <w:ind w:firstLine="560" w:firstLineChars="200"/>
        <w:rPr>
          <w:rFonts w:ascii="仿宋_GB2312" w:hAnsi="宋体" w:eastAsia="仿宋_GB2312"/>
          <w:szCs w:val="28"/>
          <w:highlight w:val="none"/>
        </w:rPr>
      </w:pPr>
      <w:r>
        <w:rPr>
          <w:rFonts w:ascii="Times New Roman" w:eastAsia="仿宋_GB2312"/>
          <w:szCs w:val="28"/>
          <w:highlight w:val="none"/>
        </w:rPr>
        <w:t>评估范围为</w:t>
      </w:r>
      <w:r>
        <w:rPr>
          <w:rFonts w:hint="eastAsia" w:ascii="仿宋_GB2312" w:hAnsi="宋体" w:eastAsia="仿宋_GB2312"/>
          <w:color w:val="000000" w:themeColor="text1"/>
          <w:szCs w:val="28"/>
          <w:highlight w:val="none"/>
          <w:lang w:eastAsia="zh-CN"/>
          <w14:textFill>
            <w14:solidFill>
              <w14:schemeClr w14:val="tx1"/>
            </w14:solidFill>
          </w14:textFill>
        </w:rPr>
        <w:t>宁夏宏兴天然气股份有限公司</w:t>
      </w:r>
      <w:r>
        <w:rPr>
          <w:rFonts w:hint="eastAsia" w:ascii="仿宋_GB2312" w:hAnsi="宋体" w:eastAsia="仿宋_GB2312"/>
          <w:szCs w:val="28"/>
          <w:highlight w:val="none"/>
        </w:rPr>
        <w:t>所属的</w:t>
      </w:r>
      <w:r>
        <w:rPr>
          <w:rFonts w:hint="eastAsia" w:ascii="仿宋_GB2312" w:hAnsi="宋体" w:eastAsia="仿宋_GB2312"/>
          <w:szCs w:val="28"/>
          <w:highlight w:val="none"/>
          <w:lang w:val="en-US" w:eastAsia="zh-CN"/>
        </w:rPr>
        <w:t>机器设备及电子设备</w:t>
      </w:r>
      <w:r>
        <w:rPr>
          <w:rFonts w:hint="eastAsia" w:ascii="仿宋_GB2312" w:hAnsi="宋体" w:eastAsia="仿宋_GB2312"/>
          <w:szCs w:val="28"/>
          <w:highlight w:val="none"/>
        </w:rPr>
        <w:t>。</w:t>
      </w:r>
    </w:p>
    <w:p>
      <w:pPr>
        <w:pStyle w:val="34"/>
        <w:snapToGrid w:val="0"/>
        <w:spacing w:before="60" w:after="60" w:line="360" w:lineRule="auto"/>
        <w:ind w:firstLine="560" w:firstLineChars="200"/>
        <w:rPr>
          <w:rFonts w:ascii="Times New Roman" w:eastAsia="仿宋_GB2312"/>
          <w:kern w:val="2"/>
          <w:szCs w:val="28"/>
          <w:highlight w:val="none"/>
        </w:rPr>
      </w:pPr>
      <w:r>
        <w:rPr>
          <w:rFonts w:hint="eastAsia" w:ascii="Times New Roman" w:eastAsia="仿宋_GB2312"/>
          <w:kern w:val="2"/>
          <w:szCs w:val="28"/>
          <w:highlight w:val="none"/>
        </w:rPr>
        <w:t>详细评估范围情况如下：</w:t>
      </w:r>
    </w:p>
    <w:p>
      <w:pPr>
        <w:spacing w:line="360" w:lineRule="auto"/>
        <w:ind w:firstLine="561"/>
        <w:rPr>
          <w:rFonts w:eastAsia="仿宋_GB2312"/>
          <w:sz w:val="28"/>
          <w:highlight w:val="none"/>
        </w:rPr>
      </w:pPr>
      <w:r>
        <w:rPr>
          <w:rFonts w:hint="eastAsia" w:eastAsia="仿宋_GB2312"/>
          <w:sz w:val="28"/>
          <w:highlight w:val="none"/>
        </w:rPr>
        <w:t>机器设备共</w:t>
      </w:r>
      <w:r>
        <w:rPr>
          <w:rFonts w:hint="eastAsia" w:eastAsia="仿宋_GB2312"/>
          <w:sz w:val="28"/>
          <w:highlight w:val="none"/>
          <w:lang w:val="en-US" w:eastAsia="zh-CN"/>
        </w:rPr>
        <w:t>38项</w:t>
      </w:r>
      <w:r>
        <w:rPr>
          <w:rFonts w:eastAsia="仿宋_GB2312"/>
          <w:sz w:val="28"/>
          <w:highlight w:val="none"/>
        </w:rPr>
        <w:t>，</w:t>
      </w:r>
      <w:r>
        <w:rPr>
          <w:rFonts w:hint="eastAsia" w:eastAsia="仿宋_GB2312"/>
          <w:sz w:val="28"/>
          <w:highlight w:val="none"/>
        </w:rPr>
        <w:t>主要为压缩天然气加气机、压缩机、埋地储气井、高压配电室、缓冲罐、废油储存罐</w:t>
      </w:r>
      <w:r>
        <w:rPr>
          <w:rFonts w:hint="eastAsia" w:eastAsia="仿宋_GB2312"/>
          <w:sz w:val="28"/>
          <w:highlight w:val="none"/>
          <w:lang w:eastAsia="zh-CN"/>
        </w:rPr>
        <w:t>、撬装式LCNG汽车加气设备、加油站品牌立柱、CNG管道</w:t>
      </w:r>
      <w:r>
        <w:rPr>
          <w:rFonts w:hint="eastAsia" w:eastAsia="仿宋_GB2312"/>
          <w:sz w:val="28"/>
          <w:highlight w:val="none"/>
          <w:lang w:val="en-US" w:eastAsia="zh-CN"/>
        </w:rPr>
        <w:t>及</w:t>
      </w:r>
      <w:r>
        <w:rPr>
          <w:rFonts w:hint="eastAsia" w:eastAsia="仿宋_GB2312"/>
          <w:sz w:val="28"/>
          <w:highlight w:val="none"/>
          <w:lang w:eastAsia="zh-CN"/>
        </w:rPr>
        <w:t>电缆沟</w:t>
      </w:r>
      <w:r>
        <w:rPr>
          <w:rFonts w:hint="eastAsia" w:eastAsia="仿宋_GB2312"/>
          <w:sz w:val="28"/>
          <w:highlight w:val="none"/>
        </w:rPr>
        <w:t>等，设备主要购置于20</w:t>
      </w:r>
      <w:r>
        <w:rPr>
          <w:rFonts w:hint="eastAsia" w:eastAsia="仿宋_GB2312"/>
          <w:sz w:val="28"/>
          <w:highlight w:val="none"/>
          <w:lang w:val="en-US" w:eastAsia="zh-CN"/>
        </w:rPr>
        <w:t>08</w:t>
      </w:r>
      <w:r>
        <w:rPr>
          <w:rFonts w:hint="eastAsia" w:eastAsia="仿宋_GB2312"/>
          <w:sz w:val="28"/>
          <w:highlight w:val="none"/>
        </w:rPr>
        <w:t>年至20</w:t>
      </w:r>
      <w:r>
        <w:rPr>
          <w:rFonts w:eastAsia="仿宋_GB2312"/>
          <w:sz w:val="28"/>
          <w:highlight w:val="none"/>
        </w:rPr>
        <w:t>1</w:t>
      </w:r>
      <w:r>
        <w:rPr>
          <w:rFonts w:hint="eastAsia" w:eastAsia="仿宋_GB2312"/>
          <w:sz w:val="28"/>
          <w:highlight w:val="none"/>
          <w:lang w:val="en-US" w:eastAsia="zh-CN"/>
        </w:rPr>
        <w:t>8</w:t>
      </w:r>
      <w:r>
        <w:rPr>
          <w:rFonts w:hint="eastAsia" w:eastAsia="仿宋_GB2312"/>
          <w:sz w:val="28"/>
          <w:highlight w:val="none"/>
        </w:rPr>
        <w:t>年间，截止评估基准日，机器设备日常使用维护状况较好，正常使用。</w:t>
      </w:r>
    </w:p>
    <w:p>
      <w:pPr>
        <w:snapToGrid w:val="0"/>
        <w:spacing w:line="360" w:lineRule="auto"/>
        <w:ind w:firstLine="560" w:firstLineChars="200"/>
        <w:rPr>
          <w:rFonts w:eastAsia="仿宋_GB2312"/>
          <w:sz w:val="28"/>
          <w:szCs w:val="28"/>
          <w:highlight w:val="none"/>
        </w:rPr>
      </w:pPr>
      <w:r>
        <w:rPr>
          <w:rFonts w:eastAsia="仿宋_GB2312"/>
          <w:sz w:val="28"/>
          <w:highlight w:val="none"/>
        </w:rPr>
        <w:t>电子设备</w:t>
      </w:r>
      <w:r>
        <w:rPr>
          <w:rFonts w:hint="eastAsia" w:eastAsia="仿宋_GB2312"/>
          <w:sz w:val="28"/>
          <w:highlight w:val="none"/>
        </w:rPr>
        <w:t>共</w:t>
      </w:r>
      <w:r>
        <w:rPr>
          <w:rFonts w:hint="eastAsia" w:eastAsia="仿宋_GB2312"/>
          <w:sz w:val="28"/>
          <w:highlight w:val="none"/>
          <w:lang w:val="en-US" w:eastAsia="zh-CN"/>
        </w:rPr>
        <w:t>32项</w:t>
      </w:r>
      <w:r>
        <w:rPr>
          <w:rFonts w:eastAsia="仿宋_GB2312"/>
          <w:sz w:val="28"/>
          <w:highlight w:val="none"/>
        </w:rPr>
        <w:t>，</w:t>
      </w:r>
      <w:r>
        <w:rPr>
          <w:rFonts w:hint="eastAsia" w:eastAsia="仿宋_GB2312"/>
          <w:sz w:val="28"/>
          <w:highlight w:val="none"/>
        </w:rPr>
        <w:t>为防撞柱、路灯、消防沙箱及微型消防站</w:t>
      </w:r>
      <w:r>
        <w:rPr>
          <w:rFonts w:hint="eastAsia" w:eastAsia="仿宋_GB2312"/>
          <w:sz w:val="28"/>
          <w:highlight w:val="none"/>
          <w:lang w:eastAsia="zh-CN"/>
        </w:rPr>
        <w:t>、防爆水泵、气动黄油泵、制度牌</w:t>
      </w:r>
      <w:r>
        <w:rPr>
          <w:rFonts w:hint="eastAsia" w:eastAsia="仿宋_GB2312"/>
          <w:sz w:val="28"/>
          <w:highlight w:val="none"/>
        </w:rPr>
        <w:t>等，</w:t>
      </w:r>
      <w:r>
        <w:rPr>
          <w:rFonts w:eastAsia="仿宋_GB2312"/>
          <w:sz w:val="28"/>
          <w:highlight w:val="none"/>
        </w:rPr>
        <w:t>现处于正常使用状态</w:t>
      </w:r>
      <w:r>
        <w:rPr>
          <w:rFonts w:eastAsia="仿宋_GB2312"/>
          <w:sz w:val="28"/>
          <w:szCs w:val="28"/>
          <w:highlight w:val="none"/>
        </w:rPr>
        <w:t>。</w:t>
      </w:r>
    </w:p>
    <w:p>
      <w:pPr>
        <w:snapToGrid w:val="0"/>
        <w:spacing w:line="360" w:lineRule="auto"/>
        <w:ind w:firstLine="560" w:firstLineChars="200"/>
        <w:rPr>
          <w:rFonts w:eastAsia="仿宋_GB2312"/>
          <w:sz w:val="28"/>
          <w:szCs w:val="28"/>
          <w:highlight w:val="none"/>
        </w:rPr>
      </w:pPr>
      <w:r>
        <w:rPr>
          <w:rFonts w:eastAsia="仿宋_GB2312"/>
          <w:sz w:val="28"/>
          <w:szCs w:val="28"/>
          <w:highlight w:val="none"/>
        </w:rPr>
        <w:t>上述资产均位于</w:t>
      </w:r>
      <w:r>
        <w:rPr>
          <w:rFonts w:hint="eastAsia" w:eastAsia="仿宋_GB2312"/>
          <w:sz w:val="28"/>
          <w:szCs w:val="28"/>
          <w:highlight w:val="none"/>
          <w:lang w:eastAsia="zh-CN"/>
        </w:rPr>
        <w:t>宁夏宏兴天然气股份有限公司</w:t>
      </w:r>
      <w:r>
        <w:rPr>
          <w:rFonts w:eastAsia="仿宋_GB2312"/>
          <w:sz w:val="28"/>
          <w:szCs w:val="28"/>
          <w:highlight w:val="none"/>
        </w:rPr>
        <w:t>厂区内</w:t>
      </w:r>
      <w:r>
        <w:rPr>
          <w:rFonts w:hint="eastAsia" w:eastAsia="仿宋_GB2312"/>
          <w:sz w:val="28"/>
          <w:szCs w:val="28"/>
          <w:highlight w:val="none"/>
          <w:lang w:eastAsia="zh-CN"/>
        </w:rPr>
        <w:t>，</w:t>
      </w:r>
      <w:r>
        <w:rPr>
          <w:rFonts w:hint="eastAsia" w:eastAsia="仿宋_GB2312"/>
          <w:sz w:val="28"/>
          <w:szCs w:val="28"/>
          <w:highlight w:val="none"/>
          <w:lang w:val="en-US" w:eastAsia="zh-CN"/>
        </w:rPr>
        <w:t>即位于</w:t>
      </w:r>
      <w:r>
        <w:rPr>
          <w:rFonts w:eastAsia="仿宋_GB2312"/>
          <w:sz w:val="28"/>
          <w:szCs w:val="28"/>
          <w:highlight w:val="none"/>
        </w:rPr>
        <w:t>银川市金凤区宝湖中路宝湖福邸东侧约30米。</w:t>
      </w:r>
    </w:p>
    <w:p>
      <w:pPr>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eastAsia="仿宋_GB2312"/>
          <w:snapToGrid w:val="0"/>
          <w:sz w:val="28"/>
          <w:highlight w:val="none"/>
        </w:rPr>
        <w:t>以上委托评估对象和评估范围与经济行为涉及的评估对象和评估范围一致。</w:t>
      </w:r>
    </w:p>
    <w:bookmarkEnd w:id="14"/>
    <w:p>
      <w:pPr>
        <w:pStyle w:val="4"/>
        <w:ind w:left="567" w:hanging="567"/>
        <w:rPr>
          <w:rFonts w:ascii="仿宋_GB2312" w:eastAsia="仿宋_GB2312"/>
          <w:sz w:val="28"/>
          <w:szCs w:val="28"/>
          <w:highlight w:val="none"/>
        </w:rPr>
      </w:pPr>
      <w:bookmarkStart w:id="15" w:name="_Toc6821"/>
      <w:r>
        <w:rPr>
          <w:rFonts w:hint="eastAsia" w:ascii="仿宋_GB2312" w:eastAsia="仿宋_GB2312"/>
          <w:sz w:val="28"/>
          <w:szCs w:val="28"/>
          <w:highlight w:val="none"/>
        </w:rPr>
        <w:t>价值类型及其定义</w:t>
      </w:r>
      <w:bookmarkEnd w:id="15"/>
    </w:p>
    <w:p>
      <w:pPr>
        <w:adjustRightInd w:val="0"/>
        <w:snapToGrid w:val="0"/>
        <w:spacing w:line="360" w:lineRule="auto"/>
        <w:ind w:firstLine="560" w:firstLineChars="200"/>
        <w:rPr>
          <w:rFonts w:eastAsia="仿宋_GB2312"/>
          <w:sz w:val="28"/>
          <w:highlight w:val="none"/>
        </w:rPr>
      </w:pPr>
      <w:r>
        <w:rPr>
          <w:rFonts w:eastAsia="仿宋_GB2312"/>
          <w:sz w:val="28"/>
          <w:highlight w:val="none"/>
        </w:rPr>
        <w:t>根据评估目的和</w:t>
      </w:r>
      <w:r>
        <w:rPr>
          <w:rFonts w:hint="eastAsia" w:eastAsia="仿宋_GB2312"/>
          <w:sz w:val="28"/>
          <w:highlight w:val="none"/>
        </w:rPr>
        <w:t>评估对象</w:t>
      </w:r>
      <w:r>
        <w:rPr>
          <w:rFonts w:eastAsia="仿宋_GB2312"/>
          <w:sz w:val="28"/>
          <w:highlight w:val="none"/>
        </w:rPr>
        <w:t>的特点，</w:t>
      </w:r>
      <w:r>
        <w:rPr>
          <w:rFonts w:hint="eastAsia" w:eastAsia="仿宋_GB2312"/>
          <w:sz w:val="28"/>
          <w:highlight w:val="none"/>
        </w:rPr>
        <w:t>确定本次评估结论的</w:t>
      </w:r>
      <w:r>
        <w:rPr>
          <w:rFonts w:eastAsia="仿宋_GB2312"/>
          <w:sz w:val="28"/>
          <w:highlight w:val="none"/>
        </w:rPr>
        <w:t>价值类型</w:t>
      </w:r>
      <w:r>
        <w:rPr>
          <w:rFonts w:hint="eastAsia" w:eastAsia="仿宋_GB2312"/>
          <w:sz w:val="28"/>
          <w:highlight w:val="none"/>
        </w:rPr>
        <w:t>为</w:t>
      </w:r>
      <w:r>
        <w:rPr>
          <w:rFonts w:eastAsia="仿宋_GB2312"/>
          <w:sz w:val="28"/>
          <w:highlight w:val="none"/>
        </w:rPr>
        <w:t>市场价值</w:t>
      </w:r>
      <w:r>
        <w:rPr>
          <w:rFonts w:hint="eastAsia" w:eastAsia="仿宋_GB2312"/>
          <w:sz w:val="28"/>
          <w:highlight w:val="none"/>
        </w:rPr>
        <w:t>。</w:t>
      </w:r>
    </w:p>
    <w:p>
      <w:pPr>
        <w:adjustRightInd w:val="0"/>
        <w:snapToGrid w:val="0"/>
        <w:spacing w:line="360" w:lineRule="auto"/>
        <w:ind w:firstLine="560" w:firstLineChars="200"/>
        <w:rPr>
          <w:rFonts w:eastAsia="仿宋_GB2312"/>
          <w:sz w:val="28"/>
          <w:highlight w:val="none"/>
        </w:rPr>
      </w:pPr>
      <w:r>
        <w:rPr>
          <w:rFonts w:eastAsia="仿宋_GB2312"/>
          <w:sz w:val="28"/>
          <w:highlight w:val="none"/>
        </w:rPr>
        <w:t>市场价值是指自愿买方</w:t>
      </w:r>
      <w:r>
        <w:rPr>
          <w:rFonts w:hint="eastAsia" w:eastAsia="仿宋_GB2312"/>
          <w:sz w:val="28"/>
          <w:highlight w:val="none"/>
        </w:rPr>
        <w:t>和</w:t>
      </w:r>
      <w:r>
        <w:rPr>
          <w:rFonts w:eastAsia="仿宋_GB2312"/>
          <w:sz w:val="28"/>
          <w:highlight w:val="none"/>
        </w:rPr>
        <w:t>自愿卖方，</w:t>
      </w:r>
      <w:r>
        <w:rPr>
          <w:rFonts w:hint="eastAsia" w:eastAsia="仿宋_GB2312"/>
          <w:sz w:val="28"/>
          <w:highlight w:val="none"/>
        </w:rPr>
        <w:t>在各自理性行事且未受任何强迫的情况下，评估对象</w:t>
      </w:r>
      <w:r>
        <w:rPr>
          <w:rFonts w:eastAsia="仿宋_GB2312"/>
          <w:sz w:val="28"/>
          <w:highlight w:val="none"/>
        </w:rPr>
        <w:t>在评估基准日进行正常公平交易的价值估计数额。</w:t>
      </w:r>
    </w:p>
    <w:p>
      <w:pPr>
        <w:pStyle w:val="4"/>
        <w:ind w:left="567" w:hanging="567"/>
        <w:rPr>
          <w:rFonts w:ascii="仿宋_GB2312" w:eastAsia="仿宋_GB2312"/>
          <w:sz w:val="28"/>
          <w:szCs w:val="28"/>
          <w:highlight w:val="none"/>
        </w:rPr>
      </w:pPr>
      <w:bookmarkStart w:id="16" w:name="_Toc2196"/>
      <w:r>
        <w:rPr>
          <w:rFonts w:ascii="仿宋_GB2312" w:eastAsia="仿宋_GB2312"/>
          <w:sz w:val="28"/>
          <w:szCs w:val="28"/>
          <w:highlight w:val="none"/>
        </w:rPr>
        <w:t>评估基准日</w:t>
      </w:r>
      <w:bookmarkEnd w:id="16"/>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（一）</w:t>
      </w:r>
      <w:r>
        <w:rPr>
          <w:rFonts w:eastAsia="仿宋_GB2312"/>
          <w:sz w:val="28"/>
          <w:highlight w:val="none"/>
        </w:rPr>
        <w:t>本评估报</w:t>
      </w:r>
      <w:r>
        <w:rPr>
          <w:rFonts w:eastAsia="仿宋_GB2312"/>
          <w:color w:val="000000" w:themeColor="text1"/>
          <w:sz w:val="28"/>
          <w:highlight w:val="none"/>
          <w14:textFill>
            <w14:solidFill>
              <w14:schemeClr w14:val="tx1"/>
            </w14:solidFill>
          </w14:textFill>
        </w:rPr>
        <w:t>告的评估基准日是</w:t>
      </w:r>
      <w:r>
        <w:rPr>
          <w:rFonts w:hint="eastAsia" w:eastAsia="仿宋_GB2312"/>
          <w:color w:val="000000" w:themeColor="text1"/>
          <w:sz w:val="28"/>
          <w:highlight w:val="none"/>
          <w:lang w:eastAsia="zh-CN"/>
          <w14:textFill>
            <w14:solidFill>
              <w14:schemeClr w14:val="tx1"/>
            </w14:solidFill>
          </w14:textFill>
        </w:rPr>
        <w:t>2023年3月28日</w:t>
      </w:r>
      <w:r>
        <w:rPr>
          <w:rFonts w:hint="eastAsia" w:eastAsia="仿宋_GB2312"/>
          <w:color w:val="000000" w:themeColor="text1"/>
          <w:sz w:val="28"/>
          <w:highlight w:val="none"/>
          <w14:textFill>
            <w14:solidFill>
              <w14:schemeClr w14:val="tx1"/>
            </w14:solidFill>
          </w14:textFill>
        </w:rPr>
        <w:t>；</w:t>
      </w:r>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（二）评估基准日由委托人确定，</w:t>
      </w:r>
      <w:r>
        <w:rPr>
          <w:rFonts w:eastAsia="仿宋_GB2312"/>
          <w:sz w:val="28"/>
          <w:highlight w:val="none"/>
        </w:rPr>
        <w:t>该评估基准日为现场</w:t>
      </w:r>
      <w:r>
        <w:rPr>
          <w:rFonts w:hint="eastAsia" w:eastAsia="仿宋_GB2312"/>
          <w:sz w:val="28"/>
          <w:highlight w:val="none"/>
        </w:rPr>
        <w:t>核查</w:t>
      </w:r>
      <w:r>
        <w:rPr>
          <w:rFonts w:eastAsia="仿宋_GB2312"/>
          <w:sz w:val="28"/>
          <w:highlight w:val="none"/>
        </w:rPr>
        <w:t>日期</w:t>
      </w:r>
      <w:r>
        <w:rPr>
          <w:rFonts w:hint="eastAsia" w:eastAsia="仿宋_GB2312"/>
          <w:sz w:val="28"/>
          <w:highlight w:val="none"/>
        </w:rPr>
        <w:t>。</w:t>
      </w:r>
    </w:p>
    <w:p>
      <w:pPr>
        <w:pStyle w:val="4"/>
        <w:ind w:left="567" w:hanging="567"/>
        <w:rPr>
          <w:rFonts w:ascii="仿宋_GB2312" w:eastAsia="仿宋_GB2312"/>
          <w:sz w:val="28"/>
          <w:szCs w:val="28"/>
          <w:highlight w:val="none"/>
        </w:rPr>
      </w:pPr>
      <w:bookmarkStart w:id="17" w:name="_Toc19605"/>
      <w:r>
        <w:rPr>
          <w:rFonts w:ascii="仿宋_GB2312" w:eastAsia="仿宋_GB2312"/>
          <w:sz w:val="28"/>
          <w:szCs w:val="28"/>
          <w:highlight w:val="none"/>
        </w:rPr>
        <w:t>评估依据</w:t>
      </w:r>
      <w:bookmarkEnd w:id="17"/>
    </w:p>
    <w:p>
      <w:pPr>
        <w:adjustRightInd w:val="0"/>
        <w:snapToGrid w:val="0"/>
        <w:spacing w:line="360" w:lineRule="auto"/>
        <w:ind w:firstLine="562" w:firstLineChars="200"/>
        <w:outlineLvl w:val="2"/>
        <w:rPr>
          <w:rFonts w:eastAsia="仿宋_GB2312"/>
          <w:b/>
          <w:sz w:val="28"/>
          <w:highlight w:val="none"/>
        </w:rPr>
      </w:pPr>
      <w:r>
        <w:rPr>
          <w:rFonts w:hint="eastAsia" w:eastAsia="仿宋_GB2312"/>
          <w:b/>
          <w:sz w:val="28"/>
          <w:highlight w:val="none"/>
        </w:rPr>
        <w:t>经济</w:t>
      </w:r>
      <w:r>
        <w:rPr>
          <w:rFonts w:eastAsia="仿宋_GB2312"/>
          <w:b/>
          <w:sz w:val="28"/>
          <w:highlight w:val="none"/>
        </w:rPr>
        <w:t>行为依据：</w:t>
      </w:r>
    </w:p>
    <w:p>
      <w:pPr>
        <w:pStyle w:val="24"/>
        <w:ind w:firstLine="560" w:firstLineChars="200"/>
        <w:rPr>
          <w:rFonts w:ascii="Times New Roman"/>
          <w:b w:val="0"/>
          <w:highlight w:val="none"/>
        </w:rPr>
      </w:pPr>
      <w:r>
        <w:rPr>
          <w:rFonts w:hint="eastAsia" w:ascii="Times New Roman"/>
          <w:b w:val="0"/>
          <w:highlight w:val="none"/>
        </w:rPr>
        <w:t>《</w:t>
      </w:r>
      <w:r>
        <w:rPr>
          <w:rFonts w:hint="eastAsia" w:ascii="Times New Roman"/>
          <w:b w:val="0"/>
          <w:highlight w:val="none"/>
          <w:lang w:eastAsia="zh-CN"/>
        </w:rPr>
        <w:t>永宁县人民法院</w:t>
      </w:r>
      <w:r>
        <w:rPr>
          <w:rFonts w:ascii="Times New Roman"/>
          <w:b w:val="0"/>
          <w:highlight w:val="none"/>
        </w:rPr>
        <w:t>委托书</w:t>
      </w:r>
      <w:r>
        <w:rPr>
          <w:rFonts w:hint="eastAsia" w:ascii="Times New Roman"/>
          <w:b w:val="0"/>
          <w:highlight w:val="none"/>
        </w:rPr>
        <w:t>》</w:t>
      </w:r>
      <w:r>
        <w:rPr>
          <w:rFonts w:ascii="Times New Roman"/>
          <w:b w:val="0"/>
          <w:highlight w:val="none"/>
        </w:rPr>
        <w:t>（202</w:t>
      </w:r>
      <w:r>
        <w:rPr>
          <w:rFonts w:hint="eastAsia" w:ascii="Times New Roman"/>
          <w:b w:val="0"/>
          <w:highlight w:val="none"/>
          <w:lang w:val="en-US" w:eastAsia="zh-CN"/>
        </w:rPr>
        <w:t>0</w:t>
      </w:r>
      <w:r>
        <w:rPr>
          <w:rFonts w:ascii="Times New Roman"/>
          <w:b w:val="0"/>
          <w:highlight w:val="none"/>
        </w:rPr>
        <w:t>）宁</w:t>
      </w:r>
      <w:r>
        <w:rPr>
          <w:rFonts w:hint="eastAsia" w:ascii="Times New Roman"/>
          <w:b w:val="0"/>
          <w:highlight w:val="none"/>
          <w:lang w:val="en-US" w:eastAsia="zh-CN"/>
        </w:rPr>
        <w:t>0121执恢137</w:t>
      </w:r>
      <w:r>
        <w:rPr>
          <w:rFonts w:ascii="Times New Roman"/>
          <w:b w:val="0"/>
          <w:highlight w:val="none"/>
        </w:rPr>
        <w:t>号。</w:t>
      </w:r>
    </w:p>
    <w:p>
      <w:pPr>
        <w:adjustRightInd w:val="0"/>
        <w:snapToGrid w:val="0"/>
        <w:spacing w:line="360" w:lineRule="auto"/>
        <w:ind w:firstLine="562" w:firstLineChars="200"/>
        <w:outlineLvl w:val="2"/>
        <w:rPr>
          <w:rFonts w:eastAsia="仿宋_GB2312"/>
          <w:b/>
          <w:sz w:val="28"/>
          <w:highlight w:val="none"/>
        </w:rPr>
      </w:pPr>
      <w:r>
        <w:rPr>
          <w:rFonts w:hint="eastAsia" w:eastAsia="仿宋_GB2312"/>
          <w:b/>
          <w:sz w:val="28"/>
          <w:highlight w:val="none"/>
        </w:rPr>
        <w:t>法律</w:t>
      </w:r>
      <w:r>
        <w:rPr>
          <w:rFonts w:eastAsia="仿宋_GB2312"/>
          <w:b/>
          <w:sz w:val="28"/>
          <w:highlight w:val="none"/>
        </w:rPr>
        <w:t>法规依据：</w:t>
      </w:r>
    </w:p>
    <w:p>
      <w:pPr>
        <w:numPr>
          <w:ilvl w:val="0"/>
          <w:numId w:val="3"/>
        </w:numPr>
        <w:tabs>
          <w:tab w:val="left" w:pos="0"/>
          <w:tab w:val="left" w:pos="1512"/>
          <w:tab w:val="clear" w:pos="3015"/>
        </w:tabs>
        <w:adjustRightInd w:val="0"/>
        <w:snapToGrid w:val="0"/>
        <w:spacing w:line="360" w:lineRule="auto"/>
        <w:ind w:left="0" w:firstLine="560" w:firstLineChars="200"/>
        <w:rPr>
          <w:rFonts w:eastAsia="仿宋_GB2312"/>
          <w:sz w:val="28"/>
          <w:highlight w:val="none"/>
        </w:rPr>
      </w:pPr>
      <w:r>
        <w:rPr>
          <w:rFonts w:hint="eastAsia" w:eastAsia="仿宋_GB2312"/>
          <w:sz w:val="28"/>
          <w:highlight w:val="none"/>
        </w:rPr>
        <w:t>《中华人民共和国民法典》（2020年5月28日第十三届全国人民代表大会第三次会议通过）；</w:t>
      </w:r>
    </w:p>
    <w:p>
      <w:pPr>
        <w:numPr>
          <w:ilvl w:val="0"/>
          <w:numId w:val="3"/>
        </w:numPr>
        <w:tabs>
          <w:tab w:val="left" w:pos="0"/>
          <w:tab w:val="left" w:pos="1512"/>
          <w:tab w:val="clear" w:pos="3015"/>
        </w:tabs>
        <w:adjustRightInd w:val="0"/>
        <w:snapToGrid w:val="0"/>
        <w:spacing w:line="360" w:lineRule="auto"/>
        <w:ind w:left="0" w:firstLine="560" w:firstLineChars="200"/>
        <w:rPr>
          <w:rFonts w:eastAsia="仿宋_GB2312"/>
          <w:sz w:val="28"/>
          <w:highlight w:val="none"/>
        </w:rPr>
      </w:pPr>
      <w:r>
        <w:rPr>
          <w:rFonts w:eastAsia="仿宋_GB2312"/>
          <w:sz w:val="28"/>
          <w:highlight w:val="none"/>
        </w:rPr>
        <w:t>《中华人民共和国资产评估法》</w:t>
      </w:r>
      <w:r>
        <w:rPr>
          <w:rFonts w:hint="eastAsia" w:eastAsia="仿宋_GB2312"/>
          <w:sz w:val="28"/>
          <w:highlight w:val="none"/>
        </w:rPr>
        <w:t>（</w:t>
      </w:r>
      <w:r>
        <w:rPr>
          <w:rFonts w:eastAsia="仿宋_GB2312"/>
          <w:sz w:val="28"/>
          <w:highlight w:val="none"/>
        </w:rPr>
        <w:t>2016年7月2日第十二届全国人民代表大会常务委员会第二十一次会议</w:t>
      </w:r>
      <w:r>
        <w:rPr>
          <w:rFonts w:hint="eastAsia" w:eastAsia="仿宋_GB2312"/>
          <w:sz w:val="28"/>
          <w:highlight w:val="none"/>
        </w:rPr>
        <w:t>通过）；</w:t>
      </w:r>
    </w:p>
    <w:p>
      <w:pPr>
        <w:numPr>
          <w:ilvl w:val="0"/>
          <w:numId w:val="3"/>
        </w:numPr>
        <w:tabs>
          <w:tab w:val="left" w:pos="0"/>
          <w:tab w:val="left" w:pos="1512"/>
          <w:tab w:val="left" w:pos="1701"/>
          <w:tab w:val="clear" w:pos="3015"/>
        </w:tabs>
        <w:adjustRightInd w:val="0"/>
        <w:snapToGrid w:val="0"/>
        <w:spacing w:line="360" w:lineRule="auto"/>
        <w:ind w:left="0" w:firstLine="560" w:firstLineChars="200"/>
        <w:rPr>
          <w:rFonts w:eastAsia="仿宋_GB2312"/>
          <w:sz w:val="28"/>
          <w:highlight w:val="none"/>
        </w:rPr>
      </w:pPr>
      <w:r>
        <w:rPr>
          <w:rFonts w:hint="eastAsia" w:eastAsia="仿宋_GB2312"/>
          <w:sz w:val="28"/>
          <w:highlight w:val="none"/>
        </w:rPr>
        <w:t>《资产评估行业财政监督管理办法》2</w:t>
      </w:r>
      <w:r>
        <w:rPr>
          <w:rFonts w:eastAsia="仿宋_GB2312"/>
          <w:sz w:val="28"/>
          <w:highlight w:val="none"/>
        </w:rPr>
        <w:t>017年</w:t>
      </w:r>
      <w:r>
        <w:rPr>
          <w:rFonts w:hint="eastAsia" w:eastAsia="仿宋_GB2312"/>
          <w:sz w:val="28"/>
          <w:highlight w:val="none"/>
        </w:rPr>
        <w:t>4月2</w:t>
      </w:r>
      <w:r>
        <w:rPr>
          <w:rFonts w:eastAsia="仿宋_GB2312"/>
          <w:sz w:val="28"/>
          <w:highlight w:val="none"/>
        </w:rPr>
        <w:t>1日财政部令第</w:t>
      </w:r>
      <w:r>
        <w:rPr>
          <w:rFonts w:hint="eastAsia" w:eastAsia="仿宋_GB2312"/>
          <w:sz w:val="28"/>
          <w:highlight w:val="none"/>
        </w:rPr>
        <w:t>8</w:t>
      </w:r>
      <w:r>
        <w:rPr>
          <w:rFonts w:eastAsia="仿宋_GB2312"/>
          <w:sz w:val="28"/>
          <w:highlight w:val="none"/>
        </w:rPr>
        <w:t>6号公布</w:t>
      </w:r>
      <w:r>
        <w:rPr>
          <w:rFonts w:hint="eastAsia" w:eastAsia="仿宋_GB2312"/>
          <w:sz w:val="28"/>
          <w:highlight w:val="none"/>
        </w:rPr>
        <w:t>，</w:t>
      </w:r>
      <w:r>
        <w:rPr>
          <w:rFonts w:eastAsia="仿宋_GB2312"/>
          <w:sz w:val="28"/>
          <w:highlight w:val="none"/>
        </w:rPr>
        <w:t>根据</w:t>
      </w:r>
      <w:r>
        <w:rPr>
          <w:rFonts w:hint="eastAsia" w:eastAsia="仿宋_GB2312"/>
          <w:sz w:val="28"/>
          <w:highlight w:val="none"/>
        </w:rPr>
        <w:t>2</w:t>
      </w:r>
      <w:r>
        <w:rPr>
          <w:rFonts w:eastAsia="仿宋_GB2312"/>
          <w:sz w:val="28"/>
          <w:highlight w:val="none"/>
        </w:rPr>
        <w:t>019年</w:t>
      </w:r>
      <w:r>
        <w:rPr>
          <w:rFonts w:hint="eastAsia" w:eastAsia="仿宋_GB2312"/>
          <w:sz w:val="28"/>
          <w:highlight w:val="none"/>
        </w:rPr>
        <w:t>1月2日《财政部关于修改&lt;</w:t>
      </w:r>
      <w:r>
        <w:rPr>
          <w:rFonts w:eastAsia="仿宋_GB2312"/>
          <w:sz w:val="28"/>
          <w:highlight w:val="none"/>
        </w:rPr>
        <w:t>会计师事务所执业许可和监督管理办法&gt;等</w:t>
      </w:r>
      <w:r>
        <w:rPr>
          <w:rFonts w:hint="eastAsia" w:eastAsia="仿宋_GB2312"/>
          <w:sz w:val="28"/>
          <w:highlight w:val="none"/>
        </w:rPr>
        <w:t>2部部门规章的决定》修改；</w:t>
      </w:r>
    </w:p>
    <w:p>
      <w:pPr>
        <w:numPr>
          <w:ilvl w:val="0"/>
          <w:numId w:val="3"/>
        </w:numPr>
        <w:tabs>
          <w:tab w:val="left" w:pos="0"/>
          <w:tab w:val="left" w:pos="1512"/>
          <w:tab w:val="left" w:pos="1701"/>
          <w:tab w:val="clear" w:pos="3015"/>
        </w:tabs>
        <w:adjustRightInd w:val="0"/>
        <w:snapToGrid w:val="0"/>
        <w:spacing w:line="360" w:lineRule="auto"/>
        <w:ind w:left="0" w:firstLine="560" w:firstLineChars="200"/>
        <w:rPr>
          <w:rFonts w:eastAsia="仿宋_GB2312"/>
          <w:sz w:val="28"/>
          <w:highlight w:val="none"/>
        </w:rPr>
      </w:pPr>
      <w:r>
        <w:rPr>
          <w:rFonts w:hint="eastAsia" w:eastAsia="仿宋_GB2312"/>
          <w:sz w:val="28"/>
          <w:highlight w:val="none"/>
        </w:rPr>
        <w:t>《最高人民法院关于人民法院确定财产处置参考价若干问题的规定》（法释[2018]15号）。</w:t>
      </w:r>
    </w:p>
    <w:p>
      <w:pPr>
        <w:tabs>
          <w:tab w:val="left" w:pos="0"/>
          <w:tab w:val="left" w:pos="1276"/>
          <w:tab w:val="left" w:pos="1701"/>
        </w:tabs>
        <w:adjustRightInd w:val="0"/>
        <w:snapToGrid w:val="0"/>
        <w:spacing w:line="360" w:lineRule="auto"/>
        <w:ind w:left="562"/>
        <w:rPr>
          <w:rFonts w:eastAsia="仿宋_GB2312"/>
          <w:b/>
          <w:sz w:val="28"/>
          <w:highlight w:val="none"/>
        </w:rPr>
      </w:pPr>
      <w:r>
        <w:rPr>
          <w:rFonts w:hint="eastAsia" w:eastAsia="仿宋_GB2312"/>
          <w:b/>
          <w:sz w:val="28"/>
          <w:highlight w:val="none"/>
        </w:rPr>
        <w:t>准则依据：</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rPr>
        <w:t>《资产评估基本准则》（</w:t>
      </w:r>
      <w:r>
        <w:rPr>
          <w:rFonts w:hint="eastAsia" w:eastAsia="仿宋_GB2312"/>
          <w:sz w:val="28"/>
          <w:highlight w:val="none"/>
        </w:rPr>
        <w:t>财资［20</w:t>
      </w:r>
      <w:r>
        <w:rPr>
          <w:rFonts w:eastAsia="仿宋_GB2312"/>
          <w:sz w:val="28"/>
          <w:highlight w:val="none"/>
        </w:rPr>
        <w:t>17</w:t>
      </w:r>
      <w:r>
        <w:rPr>
          <w:rFonts w:hint="eastAsia" w:eastAsia="仿宋_GB2312"/>
          <w:sz w:val="28"/>
          <w:highlight w:val="none"/>
        </w:rPr>
        <w:t>］</w:t>
      </w:r>
      <w:r>
        <w:rPr>
          <w:rFonts w:eastAsia="仿宋_GB2312"/>
          <w:sz w:val="28"/>
          <w:highlight w:val="none"/>
        </w:rPr>
        <w:t>43</w:t>
      </w:r>
      <w:r>
        <w:rPr>
          <w:rFonts w:hint="eastAsia" w:eastAsia="仿宋_GB2312"/>
          <w:sz w:val="28"/>
          <w:highlight w:val="none"/>
        </w:rPr>
        <w:t>号</w:t>
      </w:r>
      <w:r>
        <w:rPr>
          <w:rFonts w:eastAsia="仿宋_GB2312"/>
          <w:sz w:val="28"/>
          <w:highlight w:val="none"/>
        </w:rPr>
        <w:t>）；</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rPr>
        <w:t>《资产评估职业道德准则》（</w:t>
      </w:r>
      <w:r>
        <w:rPr>
          <w:rFonts w:hint="eastAsia" w:eastAsia="仿宋_GB2312"/>
          <w:sz w:val="28"/>
          <w:highlight w:val="none"/>
        </w:rPr>
        <w:t>中评协［</w:t>
      </w:r>
      <w:r>
        <w:rPr>
          <w:rFonts w:eastAsia="仿宋_GB2312"/>
          <w:sz w:val="28"/>
          <w:highlight w:val="none"/>
        </w:rPr>
        <w:t>2017</w:t>
      </w:r>
      <w:r>
        <w:rPr>
          <w:rFonts w:hint="eastAsia" w:eastAsia="仿宋_GB2312"/>
          <w:sz w:val="28"/>
          <w:highlight w:val="none"/>
        </w:rPr>
        <w:t>］</w:t>
      </w:r>
      <w:r>
        <w:rPr>
          <w:rFonts w:eastAsia="仿宋_GB2312"/>
          <w:sz w:val="28"/>
          <w:highlight w:val="none"/>
        </w:rPr>
        <w:t>3</w:t>
      </w:r>
      <w:r>
        <w:rPr>
          <w:rFonts w:hint="eastAsia" w:eastAsia="仿宋_GB2312"/>
          <w:sz w:val="28"/>
          <w:highlight w:val="none"/>
        </w:rPr>
        <w:t>0号</w:t>
      </w:r>
      <w:r>
        <w:rPr>
          <w:rFonts w:eastAsia="仿宋_GB2312"/>
          <w:sz w:val="28"/>
          <w:highlight w:val="none"/>
        </w:rPr>
        <w:t>）；</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rPr>
        <w:t>《资产评估执业准则—资产评估程序》</w:t>
      </w:r>
      <w:r>
        <w:rPr>
          <w:rFonts w:hint="eastAsia" w:eastAsia="仿宋_GB2312"/>
          <w:sz w:val="28"/>
          <w:highlight w:val="none"/>
        </w:rPr>
        <w:t>（</w:t>
      </w:r>
      <w:r>
        <w:rPr>
          <w:rFonts w:eastAsia="仿宋_GB2312"/>
          <w:sz w:val="28"/>
          <w:highlight w:val="none"/>
        </w:rPr>
        <w:t>中评协［2018］36号</w:t>
      </w:r>
      <w:r>
        <w:rPr>
          <w:rFonts w:hint="eastAsia" w:eastAsia="仿宋_GB2312"/>
          <w:sz w:val="28"/>
          <w:highlight w:val="none"/>
        </w:rPr>
        <w:t>）；</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rPr>
        <w:t>《资产评估执业准则—资产评估</w:t>
      </w:r>
      <w:r>
        <w:rPr>
          <w:rFonts w:hint="eastAsia" w:eastAsia="仿宋_GB2312"/>
          <w:sz w:val="28"/>
          <w:highlight w:val="none"/>
        </w:rPr>
        <w:t>方法</w:t>
      </w:r>
      <w:r>
        <w:rPr>
          <w:rFonts w:eastAsia="仿宋_GB2312"/>
          <w:sz w:val="28"/>
          <w:highlight w:val="none"/>
        </w:rPr>
        <w:t>》</w:t>
      </w:r>
      <w:r>
        <w:rPr>
          <w:rFonts w:hint="eastAsia" w:eastAsia="仿宋_GB2312"/>
          <w:sz w:val="28"/>
          <w:highlight w:val="none"/>
        </w:rPr>
        <w:t>（</w:t>
      </w:r>
      <w:r>
        <w:rPr>
          <w:rFonts w:eastAsia="仿宋_GB2312"/>
          <w:sz w:val="28"/>
          <w:highlight w:val="none"/>
        </w:rPr>
        <w:t>中评协［201</w:t>
      </w:r>
      <w:r>
        <w:rPr>
          <w:rFonts w:hint="eastAsia" w:eastAsia="仿宋_GB2312"/>
          <w:sz w:val="28"/>
          <w:highlight w:val="none"/>
        </w:rPr>
        <w:t>9</w:t>
      </w:r>
      <w:r>
        <w:rPr>
          <w:rFonts w:eastAsia="仿宋_GB2312"/>
          <w:sz w:val="28"/>
          <w:highlight w:val="none"/>
        </w:rPr>
        <w:t>］3</w:t>
      </w:r>
      <w:r>
        <w:rPr>
          <w:rFonts w:hint="eastAsia" w:eastAsia="仿宋_GB2312"/>
          <w:sz w:val="28"/>
          <w:highlight w:val="none"/>
        </w:rPr>
        <w:t>5</w:t>
      </w:r>
      <w:r>
        <w:rPr>
          <w:rFonts w:eastAsia="仿宋_GB2312"/>
          <w:sz w:val="28"/>
          <w:highlight w:val="none"/>
        </w:rPr>
        <w:t>号</w:t>
      </w:r>
      <w:r>
        <w:rPr>
          <w:rFonts w:hint="eastAsia" w:eastAsia="仿宋_GB2312"/>
          <w:sz w:val="28"/>
          <w:highlight w:val="none"/>
        </w:rPr>
        <w:t>）；</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rPr>
        <w:t>《资产评估执业准则—资产评估报告》</w:t>
      </w:r>
      <w:r>
        <w:rPr>
          <w:rFonts w:hint="eastAsia" w:eastAsia="仿宋_GB2312"/>
          <w:sz w:val="28"/>
          <w:highlight w:val="none"/>
        </w:rPr>
        <w:t>（</w:t>
      </w:r>
      <w:r>
        <w:rPr>
          <w:rFonts w:eastAsia="仿宋_GB2312"/>
          <w:sz w:val="28"/>
          <w:highlight w:val="none"/>
        </w:rPr>
        <w:t>中评协［2018］35号</w:t>
      </w:r>
      <w:r>
        <w:rPr>
          <w:rFonts w:hint="eastAsia" w:eastAsia="仿宋_GB2312"/>
          <w:sz w:val="28"/>
          <w:highlight w:val="none"/>
        </w:rPr>
        <w:t>）</w:t>
      </w:r>
      <w:r>
        <w:rPr>
          <w:rFonts w:hint="eastAsia" w:eastAsia="仿宋_GB2312"/>
          <w:sz w:val="28"/>
          <w:highlight w:val="none"/>
          <w:lang w:eastAsia="zh-CN"/>
        </w:rPr>
        <w:t>；</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lang w:val="en-US" w:eastAsia="zh-CN"/>
        </w:rPr>
        <w:fldChar w:fldCharType="begin"/>
      </w:r>
      <w:r>
        <w:rPr>
          <w:rFonts w:eastAsia="仿宋_GB2312"/>
          <w:sz w:val="28"/>
          <w:highlight w:val="none"/>
          <w:lang w:val="en-US" w:eastAsia="zh-CN"/>
        </w:rPr>
        <w:instrText xml:space="preserve">HYPERLINK "http://www.cas.org.cn/pgbz/pgzc/55899.htm"</w:instrText>
      </w:r>
      <w:r>
        <w:rPr>
          <w:rFonts w:eastAsia="仿宋_GB2312"/>
          <w:sz w:val="28"/>
          <w:highlight w:val="none"/>
          <w:lang w:val="en-US" w:eastAsia="zh-CN"/>
        </w:rPr>
        <w:fldChar w:fldCharType="separate"/>
      </w:r>
      <w:r>
        <w:rPr>
          <w:rFonts w:hint="eastAsia" w:eastAsia="仿宋_GB2312"/>
          <w:sz w:val="28"/>
          <w:highlight w:val="none"/>
          <w:lang w:val="en-US" w:eastAsia="zh-CN"/>
        </w:rPr>
        <w:t>《资产评估执业准则—资产评估委托合同》</w:t>
      </w:r>
      <w:r>
        <w:rPr>
          <w:rFonts w:eastAsia="仿宋_GB2312"/>
          <w:sz w:val="28"/>
          <w:highlight w:val="none"/>
          <w:lang w:val="en-US" w:eastAsia="zh-CN"/>
        </w:rPr>
        <w:fldChar w:fldCharType="end"/>
      </w:r>
      <w:r>
        <w:rPr>
          <w:rFonts w:hint="eastAsia" w:eastAsia="仿宋_GB2312"/>
          <w:sz w:val="28"/>
          <w:highlight w:val="none"/>
          <w:lang w:val="en-US" w:eastAsia="zh-CN"/>
        </w:rPr>
        <w:t>（中评协［2017］33号）</w:t>
      </w:r>
      <w:r>
        <w:rPr>
          <w:rFonts w:hint="eastAsia" w:eastAsia="仿宋_GB2312"/>
          <w:sz w:val="28"/>
          <w:highlight w:val="none"/>
        </w:rPr>
        <w:t>；</w:t>
      </w:r>
    </w:p>
    <w:p>
      <w:pPr>
        <w:numPr>
          <w:ilvl w:val="0"/>
          <w:numId w:val="4"/>
        </w:numPr>
        <w:tabs>
          <w:tab w:val="left" w:pos="1512"/>
        </w:tabs>
        <w:adjustRightInd w:val="0"/>
        <w:snapToGrid w:val="0"/>
        <w:spacing w:line="336" w:lineRule="auto"/>
        <w:ind w:left="0" w:firstLine="539"/>
        <w:rPr>
          <w:rFonts w:hint="eastAsia" w:eastAsia="仿宋_GB2312"/>
          <w:sz w:val="28"/>
          <w:highlight w:val="none"/>
        </w:rPr>
      </w:pPr>
      <w:r>
        <w:rPr>
          <w:rFonts w:eastAsia="仿宋_GB2312"/>
          <w:sz w:val="28"/>
          <w:highlight w:val="none"/>
        </w:rPr>
        <w:t>《资产评估执业准则—</w:t>
      </w:r>
      <w:r>
        <w:rPr>
          <w:rFonts w:hint="eastAsia" w:eastAsia="仿宋_GB2312"/>
          <w:sz w:val="28"/>
          <w:highlight w:val="none"/>
        </w:rPr>
        <w:t>资产评估档案</w:t>
      </w:r>
      <w:r>
        <w:rPr>
          <w:rFonts w:eastAsia="仿宋_GB2312"/>
          <w:sz w:val="28"/>
          <w:highlight w:val="none"/>
        </w:rPr>
        <w:t>》</w:t>
      </w:r>
      <w:r>
        <w:rPr>
          <w:rFonts w:hint="eastAsia" w:eastAsia="仿宋_GB2312"/>
          <w:sz w:val="28"/>
          <w:highlight w:val="none"/>
        </w:rPr>
        <w:t>(</w:t>
      </w:r>
      <w:r>
        <w:rPr>
          <w:rFonts w:eastAsia="仿宋_GB2312"/>
          <w:sz w:val="28"/>
          <w:highlight w:val="none"/>
        </w:rPr>
        <w:t>中评协［2018］37号</w:t>
      </w:r>
      <w:r>
        <w:rPr>
          <w:rFonts w:hint="eastAsia" w:eastAsia="仿宋_GB2312"/>
          <w:sz w:val="28"/>
          <w:highlight w:val="none"/>
        </w:rPr>
        <w:t>)</w:t>
      </w:r>
      <w:r>
        <w:rPr>
          <w:rFonts w:eastAsia="仿宋_GB2312"/>
          <w:sz w:val="28"/>
          <w:highlight w:val="none"/>
        </w:rPr>
        <w:t>；</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eastAsia="仿宋_GB2312"/>
          <w:sz w:val="28"/>
          <w:highlight w:val="none"/>
        </w:rPr>
        <w:fldChar w:fldCharType="begin"/>
      </w:r>
      <w:r>
        <w:rPr>
          <w:rFonts w:eastAsia="仿宋_GB2312"/>
          <w:sz w:val="28"/>
          <w:highlight w:val="none"/>
        </w:rPr>
        <w:instrText xml:space="preserve"> HYPERLINK "http://www.cas.org.cn/pgbz/pgzc/55899.htm" </w:instrText>
      </w:r>
      <w:r>
        <w:rPr>
          <w:rFonts w:eastAsia="仿宋_GB2312"/>
          <w:sz w:val="28"/>
          <w:highlight w:val="none"/>
        </w:rPr>
        <w:fldChar w:fldCharType="separate"/>
      </w:r>
      <w:r>
        <w:rPr>
          <w:rFonts w:hint="eastAsia" w:eastAsia="仿宋_GB2312"/>
          <w:sz w:val="28"/>
          <w:highlight w:val="none"/>
        </w:rPr>
        <w:t>《资产评估执业准则—机器设备》</w:t>
      </w:r>
      <w:r>
        <w:rPr>
          <w:rFonts w:eastAsia="仿宋_GB2312"/>
          <w:sz w:val="28"/>
          <w:highlight w:val="none"/>
        </w:rPr>
        <w:fldChar w:fldCharType="end"/>
      </w:r>
      <w:r>
        <w:rPr>
          <w:rFonts w:hint="eastAsia" w:eastAsia="仿宋_GB2312"/>
          <w:sz w:val="28"/>
          <w:highlight w:val="none"/>
        </w:rPr>
        <w:t>(中评协［</w:t>
      </w:r>
      <w:r>
        <w:rPr>
          <w:rFonts w:eastAsia="仿宋_GB2312"/>
          <w:sz w:val="28"/>
          <w:highlight w:val="none"/>
        </w:rPr>
        <w:t>2017</w:t>
      </w:r>
      <w:r>
        <w:rPr>
          <w:rFonts w:hint="eastAsia" w:eastAsia="仿宋_GB2312"/>
          <w:sz w:val="28"/>
          <w:highlight w:val="none"/>
        </w:rPr>
        <w:t>］</w:t>
      </w:r>
      <w:r>
        <w:rPr>
          <w:rFonts w:eastAsia="仿宋_GB2312"/>
          <w:sz w:val="28"/>
          <w:highlight w:val="none"/>
        </w:rPr>
        <w:t>39</w:t>
      </w:r>
      <w:r>
        <w:rPr>
          <w:rFonts w:hint="eastAsia" w:eastAsia="仿宋_GB2312"/>
          <w:sz w:val="28"/>
          <w:highlight w:val="none"/>
        </w:rPr>
        <w:t>号)；</w:t>
      </w:r>
    </w:p>
    <w:p>
      <w:pPr>
        <w:numPr>
          <w:ilvl w:val="0"/>
          <w:numId w:val="4"/>
        </w:numPr>
        <w:tabs>
          <w:tab w:val="left" w:pos="1512"/>
        </w:tabs>
        <w:adjustRightInd w:val="0"/>
        <w:snapToGrid w:val="0"/>
        <w:spacing w:line="336" w:lineRule="auto"/>
        <w:ind w:left="0" w:firstLine="539"/>
        <w:rPr>
          <w:rFonts w:hint="eastAsia" w:eastAsia="仿宋_GB2312"/>
          <w:sz w:val="28"/>
          <w:highlight w:val="none"/>
        </w:rPr>
      </w:pPr>
      <w:r>
        <w:rPr>
          <w:rFonts w:eastAsia="仿宋_GB2312"/>
          <w:sz w:val="28"/>
          <w:highlight w:val="none"/>
        </w:rPr>
        <w:t>《</w:t>
      </w:r>
      <w:r>
        <w:rPr>
          <w:rFonts w:hint="eastAsia" w:eastAsia="仿宋_GB2312"/>
          <w:sz w:val="28"/>
          <w:highlight w:val="none"/>
        </w:rPr>
        <w:t>资产评估机构业务质量控制指南</w:t>
      </w:r>
      <w:r>
        <w:rPr>
          <w:rFonts w:eastAsia="仿宋_GB2312"/>
          <w:sz w:val="28"/>
          <w:highlight w:val="none"/>
        </w:rPr>
        <w:t>》（中评协[2017]46号）；</w:t>
      </w:r>
    </w:p>
    <w:p>
      <w:pPr>
        <w:numPr>
          <w:ilvl w:val="0"/>
          <w:numId w:val="4"/>
        </w:numPr>
        <w:tabs>
          <w:tab w:val="left" w:pos="1512"/>
        </w:tabs>
        <w:adjustRightInd w:val="0"/>
        <w:snapToGrid w:val="0"/>
        <w:spacing w:line="336" w:lineRule="auto"/>
        <w:ind w:left="0" w:firstLine="539"/>
        <w:rPr>
          <w:rFonts w:eastAsia="仿宋_GB2312"/>
          <w:sz w:val="28"/>
          <w:highlight w:val="none"/>
        </w:rPr>
      </w:pPr>
      <w:r>
        <w:rPr>
          <w:rFonts w:hint="eastAsia" w:eastAsia="仿宋_GB2312"/>
          <w:sz w:val="28"/>
          <w:highlight w:val="none"/>
        </w:rPr>
        <w:t>《资产评估价值类型指导意见》（中评协［20</w:t>
      </w:r>
      <w:r>
        <w:rPr>
          <w:rFonts w:eastAsia="仿宋_GB2312"/>
          <w:sz w:val="28"/>
          <w:highlight w:val="none"/>
        </w:rPr>
        <w:t>1</w:t>
      </w:r>
      <w:r>
        <w:rPr>
          <w:rFonts w:hint="eastAsia" w:eastAsia="仿宋_GB2312"/>
          <w:sz w:val="28"/>
          <w:highlight w:val="none"/>
        </w:rPr>
        <w:t>7］</w:t>
      </w:r>
      <w:r>
        <w:rPr>
          <w:rFonts w:eastAsia="仿宋_GB2312"/>
          <w:sz w:val="28"/>
          <w:highlight w:val="none"/>
        </w:rPr>
        <w:t>47</w:t>
      </w:r>
      <w:r>
        <w:rPr>
          <w:rFonts w:hint="eastAsia" w:eastAsia="仿宋_GB2312"/>
          <w:sz w:val="28"/>
          <w:highlight w:val="none"/>
        </w:rPr>
        <w:t>号）；</w:t>
      </w:r>
    </w:p>
    <w:p>
      <w:pPr>
        <w:numPr>
          <w:ilvl w:val="0"/>
          <w:numId w:val="4"/>
        </w:numPr>
        <w:tabs>
          <w:tab w:val="left" w:pos="1512"/>
          <w:tab w:val="left" w:pos="1701"/>
        </w:tabs>
        <w:adjustRightInd w:val="0"/>
        <w:snapToGrid w:val="0"/>
        <w:spacing w:line="336" w:lineRule="auto"/>
        <w:ind w:left="0" w:firstLine="567"/>
        <w:rPr>
          <w:rFonts w:hint="eastAsia" w:eastAsia="仿宋_GB2312"/>
          <w:sz w:val="28"/>
          <w:highlight w:val="none"/>
        </w:rPr>
      </w:pPr>
      <w:r>
        <w:rPr>
          <w:rFonts w:hint="eastAsia" w:eastAsia="仿宋_GB2312"/>
          <w:sz w:val="28"/>
          <w:highlight w:val="none"/>
        </w:rPr>
        <w:t>《资产评估对象法律权属指导意见》(中评协〔2017〕48</w:t>
      </w:r>
      <w:r>
        <w:rPr>
          <w:rFonts w:eastAsia="仿宋_GB2312"/>
          <w:sz w:val="28"/>
          <w:highlight w:val="none"/>
        </w:rPr>
        <w:t>号</w:t>
      </w:r>
      <w:r>
        <w:rPr>
          <w:rFonts w:hint="eastAsia" w:eastAsia="仿宋_GB2312"/>
          <w:sz w:val="28"/>
          <w:highlight w:val="none"/>
        </w:rPr>
        <w:t>)；</w:t>
      </w:r>
    </w:p>
    <w:p>
      <w:pPr>
        <w:numPr>
          <w:ilvl w:val="0"/>
          <w:numId w:val="4"/>
        </w:numPr>
        <w:tabs>
          <w:tab w:val="left" w:pos="1512"/>
          <w:tab w:val="left" w:pos="1701"/>
        </w:tabs>
        <w:adjustRightInd w:val="0"/>
        <w:snapToGrid w:val="0"/>
        <w:spacing w:line="336" w:lineRule="auto"/>
        <w:ind w:left="0" w:firstLine="567"/>
        <w:rPr>
          <w:rFonts w:hint="eastAsia" w:eastAsia="仿宋_GB2312"/>
          <w:sz w:val="28"/>
          <w:highlight w:val="none"/>
        </w:rPr>
      </w:pPr>
      <w:r>
        <w:rPr>
          <w:rFonts w:hint="eastAsia" w:eastAsia="仿宋_GB2312"/>
          <w:sz w:val="28"/>
          <w:highlight w:val="none"/>
        </w:rPr>
        <w:t>《关于印发&lt;人民法院委托司法执行财产处置资产评估指导意见&gt;的通知》（中评协〔2019〕14号）；</w:t>
      </w:r>
    </w:p>
    <w:p>
      <w:pPr>
        <w:numPr>
          <w:ilvl w:val="0"/>
          <w:numId w:val="4"/>
        </w:numPr>
        <w:tabs>
          <w:tab w:val="left" w:pos="1512"/>
          <w:tab w:val="left" w:pos="1701"/>
        </w:tabs>
        <w:adjustRightInd w:val="0"/>
        <w:snapToGrid w:val="0"/>
        <w:spacing w:line="336" w:lineRule="auto"/>
        <w:ind w:left="0" w:firstLine="567"/>
        <w:rPr>
          <w:rFonts w:hint="eastAsia" w:eastAsia="仿宋_GB2312"/>
          <w:sz w:val="28"/>
          <w:highlight w:val="none"/>
        </w:rPr>
      </w:pPr>
      <w:r>
        <w:rPr>
          <w:rFonts w:hint="eastAsia" w:eastAsia="仿宋_GB2312"/>
          <w:sz w:val="28"/>
          <w:highlight w:val="none"/>
        </w:rPr>
        <w:t>最高人民法院办公厅、中国资产评估协会、中国土地估价师</w:t>
      </w:r>
    </w:p>
    <w:p>
      <w:pPr>
        <w:tabs>
          <w:tab w:val="left" w:pos="0"/>
          <w:tab w:val="left" w:pos="1512"/>
          <w:tab w:val="left" w:pos="1848"/>
        </w:tabs>
        <w:adjustRightInd w:val="0"/>
        <w:snapToGrid w:val="0"/>
        <w:spacing w:line="360" w:lineRule="auto"/>
        <w:rPr>
          <w:rFonts w:hint="eastAsia" w:eastAsia="仿宋_GB2312"/>
          <w:sz w:val="28"/>
          <w:highlight w:val="none"/>
          <w:lang w:eastAsia="zh-CN"/>
        </w:rPr>
      </w:pPr>
      <w:r>
        <w:rPr>
          <w:rFonts w:hint="eastAsia" w:eastAsia="仿宋_GB2312"/>
          <w:sz w:val="28"/>
          <w:highlight w:val="none"/>
        </w:rPr>
        <w:t>与土地登记代理人协会、中国房地产估价师与房地产经纪人学会、中国矿业权评估师协会、中国珠宝玉石首饰行业协会《关于印发&lt;人民法院委托评估工作规范&gt;的通知》（法办（2018）273号）</w:t>
      </w:r>
      <w:r>
        <w:rPr>
          <w:rFonts w:hint="eastAsia" w:eastAsia="仿宋_GB2312"/>
          <w:sz w:val="28"/>
          <w:highlight w:val="none"/>
          <w:lang w:eastAsia="zh-CN"/>
        </w:rPr>
        <w:t>；</w:t>
      </w:r>
    </w:p>
    <w:p>
      <w:pPr>
        <w:numPr>
          <w:ilvl w:val="0"/>
          <w:numId w:val="4"/>
        </w:numPr>
        <w:tabs>
          <w:tab w:val="left" w:pos="1512"/>
          <w:tab w:val="left" w:pos="1701"/>
        </w:tabs>
        <w:adjustRightInd w:val="0"/>
        <w:snapToGrid w:val="0"/>
        <w:spacing w:line="336" w:lineRule="auto"/>
        <w:ind w:left="0" w:firstLine="567"/>
        <w:rPr>
          <w:rFonts w:hint="eastAsia" w:eastAsia="仿宋_GB2312"/>
          <w:bCs/>
          <w:color w:val="000000" w:themeColor="text1"/>
          <w:sz w:val="28"/>
          <w:highlight w:val="none"/>
          <w:lang w:eastAsia="zh-CN"/>
          <w14:textFill>
            <w14:solidFill>
              <w14:schemeClr w14:val="tx1"/>
            </w14:solidFill>
          </w14:textFill>
        </w:rPr>
      </w:pPr>
      <w:r>
        <w:rPr>
          <w:rFonts w:hint="eastAsia" w:eastAsia="仿宋_GB2312"/>
          <w:sz w:val="28"/>
          <w:highlight w:val="none"/>
        </w:rPr>
        <w:t>《资产评估准则术语2020》（中评协〔2020〕31号）</w:t>
      </w:r>
      <w:r>
        <w:rPr>
          <w:rFonts w:hint="eastAsia" w:eastAsia="仿宋_GB2312"/>
          <w:sz w:val="28"/>
          <w:highlight w:val="none"/>
          <w:lang w:eastAsia="zh-CN"/>
        </w:rPr>
        <w:t>。</w:t>
      </w:r>
    </w:p>
    <w:p>
      <w:pPr>
        <w:adjustRightInd w:val="0"/>
        <w:snapToGrid w:val="0"/>
        <w:spacing w:line="360" w:lineRule="auto"/>
        <w:ind w:firstLine="562" w:firstLineChars="200"/>
        <w:outlineLvl w:val="2"/>
        <w:rPr>
          <w:rFonts w:eastAsia="仿宋_GB2312"/>
          <w:b/>
          <w:sz w:val="28"/>
          <w:highlight w:val="none"/>
        </w:rPr>
      </w:pPr>
      <w:r>
        <w:rPr>
          <w:rFonts w:eastAsia="仿宋_GB2312"/>
          <w:b/>
          <w:sz w:val="28"/>
          <w:highlight w:val="none"/>
        </w:rPr>
        <w:t>权</w:t>
      </w:r>
      <w:r>
        <w:rPr>
          <w:rFonts w:hint="eastAsia" w:eastAsia="仿宋_GB2312"/>
          <w:b/>
          <w:sz w:val="28"/>
          <w:highlight w:val="none"/>
        </w:rPr>
        <w:t>属</w:t>
      </w:r>
      <w:r>
        <w:rPr>
          <w:rFonts w:eastAsia="仿宋_GB2312"/>
          <w:b/>
          <w:sz w:val="28"/>
          <w:highlight w:val="none"/>
        </w:rPr>
        <w:t>依据：</w:t>
      </w:r>
    </w:p>
    <w:p>
      <w:pPr>
        <w:numPr>
          <w:ilvl w:val="0"/>
          <w:numId w:val="5"/>
        </w:numPr>
        <w:tabs>
          <w:tab w:val="left" w:pos="1512"/>
          <w:tab w:val="left" w:pos="1985"/>
        </w:tabs>
        <w:adjustRightInd w:val="0"/>
        <w:snapToGrid w:val="0"/>
        <w:spacing w:line="360" w:lineRule="auto"/>
        <w:rPr>
          <w:rFonts w:hint="eastAsia" w:eastAsia="仿宋_GB2312"/>
          <w:bCs/>
          <w:color w:val="000000" w:themeColor="text1"/>
          <w:sz w:val="28"/>
          <w:highlight w:val="none"/>
          <w14:textFill>
            <w14:solidFill>
              <w14:schemeClr w14:val="tx1"/>
            </w14:solidFill>
          </w14:textFill>
        </w:rPr>
      </w:pPr>
      <w:r>
        <w:rPr>
          <w:rFonts w:hint="eastAsia" w:eastAsia="仿宋_GB2312"/>
          <w:bCs/>
          <w:color w:val="000000" w:themeColor="text1"/>
          <w:sz w:val="28"/>
          <w:highlight w:val="none"/>
          <w14:textFill>
            <w14:solidFill>
              <w14:schemeClr w14:val="tx1"/>
            </w14:solidFill>
          </w14:textFill>
        </w:rPr>
        <w:t>委托人提供的案件相关资料；</w:t>
      </w:r>
    </w:p>
    <w:p>
      <w:pPr>
        <w:numPr>
          <w:ilvl w:val="0"/>
          <w:numId w:val="5"/>
        </w:numPr>
        <w:tabs>
          <w:tab w:val="left" w:pos="1512"/>
          <w:tab w:val="left" w:pos="1985"/>
        </w:tabs>
        <w:adjustRightInd w:val="0"/>
        <w:snapToGrid w:val="0"/>
        <w:spacing w:line="360" w:lineRule="auto"/>
        <w:rPr>
          <w:rFonts w:hint="eastAsia" w:eastAsia="仿宋_GB2312"/>
          <w:bCs/>
          <w:color w:val="000000" w:themeColor="text1"/>
          <w:sz w:val="28"/>
          <w:highlight w:val="none"/>
          <w14:textFill>
            <w14:solidFill>
              <w14:schemeClr w14:val="tx1"/>
            </w14:solidFill>
          </w14:textFill>
        </w:rPr>
      </w:pPr>
      <w:r>
        <w:rPr>
          <w:rFonts w:hint="eastAsia" w:eastAsia="仿宋_GB2312"/>
          <w:bCs/>
          <w:color w:val="000000" w:themeColor="text1"/>
          <w:sz w:val="28"/>
          <w:highlight w:val="none"/>
          <w14:textFill>
            <w14:solidFill>
              <w14:schemeClr w14:val="tx1"/>
            </w14:solidFill>
          </w14:textFill>
        </w:rPr>
        <w:t>其他权属资料。</w:t>
      </w:r>
    </w:p>
    <w:p>
      <w:pPr>
        <w:adjustRightInd w:val="0"/>
        <w:snapToGrid w:val="0"/>
        <w:spacing w:line="360" w:lineRule="auto"/>
        <w:ind w:firstLine="562" w:firstLineChars="200"/>
        <w:outlineLvl w:val="2"/>
        <w:rPr>
          <w:rFonts w:eastAsia="仿宋_GB2312"/>
          <w:b/>
          <w:color w:val="000000" w:themeColor="text1"/>
          <w:sz w:val="28"/>
          <w:highlight w:val="none"/>
          <w14:textFill>
            <w14:solidFill>
              <w14:schemeClr w14:val="tx1"/>
            </w14:solidFill>
          </w14:textFill>
        </w:rPr>
      </w:pPr>
      <w:r>
        <w:rPr>
          <w:rFonts w:eastAsia="仿宋_GB2312"/>
          <w:b/>
          <w:color w:val="000000" w:themeColor="text1"/>
          <w:sz w:val="28"/>
          <w:highlight w:val="none"/>
          <w14:textFill>
            <w14:solidFill>
              <w14:schemeClr w14:val="tx1"/>
            </w14:solidFill>
          </w14:textFill>
        </w:rPr>
        <w:t>取价依据：</w:t>
      </w:r>
    </w:p>
    <w:p>
      <w:pPr>
        <w:numPr>
          <w:ilvl w:val="0"/>
          <w:numId w:val="0"/>
        </w:numPr>
        <w:tabs>
          <w:tab w:val="left" w:pos="1512"/>
          <w:tab w:val="left" w:pos="1985"/>
        </w:tabs>
        <w:adjustRightInd w:val="0"/>
        <w:snapToGrid w:val="0"/>
        <w:spacing w:line="360" w:lineRule="auto"/>
        <w:ind w:left="539" w:leftChars="0"/>
        <w:rPr>
          <w:rFonts w:hint="eastAsia" w:eastAsia="仿宋_GB2312"/>
          <w:bCs/>
          <w:color w:val="000000" w:themeColor="text1"/>
          <w:sz w:val="28"/>
          <w:highlight w:val="none"/>
          <w:lang w:val="en-US" w:eastAsia="zh-CN"/>
          <w14:textFill>
            <w14:solidFill>
              <w14:schemeClr w14:val="tx1"/>
            </w14:solidFill>
          </w14:textFill>
        </w:rPr>
      </w:pPr>
      <w:r>
        <w:rPr>
          <w:rFonts w:hint="eastAsia" w:eastAsia="仿宋_GB2312"/>
          <w:bCs/>
          <w:color w:val="000000" w:themeColor="text1"/>
          <w:sz w:val="28"/>
          <w:highlight w:val="none"/>
          <w:lang w:eastAsia="zh-CN"/>
          <w14:textFill>
            <w14:solidFill>
              <w14:schemeClr w14:val="tx1"/>
            </w14:solidFill>
          </w14:textFill>
        </w:rPr>
        <w:t>（</w:t>
      </w:r>
      <w:r>
        <w:rPr>
          <w:rFonts w:hint="eastAsia" w:eastAsia="仿宋_GB2312"/>
          <w:bCs/>
          <w:color w:val="000000" w:themeColor="text1"/>
          <w:sz w:val="28"/>
          <w:highlight w:val="none"/>
          <w:lang w:val="en-US" w:eastAsia="zh-CN"/>
          <w14:textFill>
            <w14:solidFill>
              <w14:schemeClr w14:val="tx1"/>
            </w14:solidFill>
          </w14:textFill>
        </w:rPr>
        <w:t>一）</w:t>
      </w:r>
      <w:r>
        <w:rPr>
          <w:rFonts w:hint="eastAsia" w:eastAsia="仿宋_GB2312"/>
          <w:bCs/>
          <w:sz w:val="28"/>
          <w:highlight w:val="none"/>
        </w:rPr>
        <w:t>《资产评估常用方法与参数手册》机械工业出版社出版（2011）</w:t>
      </w:r>
      <w:r>
        <w:rPr>
          <w:rFonts w:hint="eastAsia" w:eastAsia="仿宋_GB2312"/>
          <w:bCs/>
          <w:sz w:val="28"/>
          <w:highlight w:val="none"/>
          <w:lang w:eastAsia="zh-CN"/>
        </w:rPr>
        <w:t>；</w:t>
      </w:r>
    </w:p>
    <w:p>
      <w:pPr>
        <w:numPr>
          <w:ilvl w:val="0"/>
          <w:numId w:val="0"/>
        </w:numPr>
        <w:tabs>
          <w:tab w:val="left" w:pos="1512"/>
          <w:tab w:val="left" w:pos="1985"/>
        </w:tabs>
        <w:adjustRightInd w:val="0"/>
        <w:snapToGrid w:val="0"/>
        <w:spacing w:line="360" w:lineRule="auto"/>
        <w:ind w:left="539" w:leftChars="0"/>
        <w:rPr>
          <w:rFonts w:hint="eastAsia" w:eastAsia="仿宋_GB2312"/>
          <w:bCs/>
          <w:color w:val="000000" w:themeColor="text1"/>
          <w:sz w:val="28"/>
          <w:highlight w:val="none"/>
          <w:lang w:eastAsia="zh-CN"/>
          <w14:textFill>
            <w14:solidFill>
              <w14:schemeClr w14:val="tx1"/>
            </w14:solidFill>
          </w14:textFill>
        </w:rPr>
      </w:pPr>
      <w:r>
        <w:rPr>
          <w:rFonts w:hint="eastAsia" w:eastAsia="仿宋_GB2312"/>
          <w:bCs/>
          <w:color w:val="000000" w:themeColor="text1"/>
          <w:sz w:val="28"/>
          <w:highlight w:val="none"/>
          <w:lang w:eastAsia="zh-CN"/>
          <w14:textFill>
            <w14:solidFill>
              <w14:schemeClr w14:val="tx1"/>
            </w14:solidFill>
          </w14:textFill>
        </w:rPr>
        <w:t>（</w:t>
      </w:r>
      <w:r>
        <w:rPr>
          <w:rFonts w:hint="eastAsia" w:eastAsia="仿宋_GB2312"/>
          <w:bCs/>
          <w:color w:val="000000" w:themeColor="text1"/>
          <w:sz w:val="28"/>
          <w:highlight w:val="none"/>
          <w:lang w:val="en-US" w:eastAsia="zh-CN"/>
          <w14:textFill>
            <w14:solidFill>
              <w14:schemeClr w14:val="tx1"/>
            </w14:solidFill>
          </w14:textFill>
        </w:rPr>
        <w:t>二</w:t>
      </w:r>
      <w:r>
        <w:rPr>
          <w:rFonts w:hint="eastAsia" w:eastAsia="仿宋_GB2312"/>
          <w:bCs/>
          <w:color w:val="000000" w:themeColor="text1"/>
          <w:sz w:val="28"/>
          <w:highlight w:val="none"/>
          <w:lang w:eastAsia="zh-CN"/>
          <w14:textFill>
            <w14:solidFill>
              <w14:schemeClr w14:val="tx1"/>
            </w14:solidFill>
          </w14:textFill>
        </w:rPr>
        <w:t>）</w:t>
      </w:r>
      <w:r>
        <w:rPr>
          <w:rFonts w:hint="eastAsia" w:eastAsia="仿宋_GB2312"/>
          <w:bCs/>
          <w:sz w:val="28"/>
          <w:highlight w:val="none"/>
        </w:rPr>
        <w:t>《机电产品</w:t>
      </w:r>
      <w:r>
        <w:rPr>
          <w:rFonts w:hint="eastAsia" w:eastAsia="仿宋_GB2312"/>
          <w:bCs/>
          <w:sz w:val="28"/>
          <w:highlight w:val="none"/>
          <w:lang w:val="en-US" w:eastAsia="zh-CN"/>
        </w:rPr>
        <w:t>价格查询系统</w:t>
      </w:r>
      <w:r>
        <w:rPr>
          <w:rFonts w:hint="eastAsia" w:eastAsia="仿宋_GB2312"/>
          <w:bCs/>
          <w:sz w:val="28"/>
          <w:highlight w:val="none"/>
        </w:rPr>
        <w:t>》（</w:t>
      </w:r>
      <w:r>
        <w:rPr>
          <w:rFonts w:eastAsia="仿宋_GB2312"/>
          <w:bCs/>
          <w:sz w:val="28"/>
          <w:highlight w:val="none"/>
        </w:rPr>
        <w:t>202</w:t>
      </w:r>
      <w:r>
        <w:rPr>
          <w:rFonts w:hint="eastAsia" w:eastAsia="仿宋_GB2312"/>
          <w:bCs/>
          <w:sz w:val="28"/>
          <w:highlight w:val="none"/>
          <w:lang w:val="en-US" w:eastAsia="zh-CN"/>
        </w:rPr>
        <w:t>3</w:t>
      </w:r>
      <w:r>
        <w:rPr>
          <w:rFonts w:hint="eastAsia" w:eastAsia="仿宋_GB2312"/>
          <w:bCs/>
          <w:sz w:val="28"/>
          <w:highlight w:val="none"/>
        </w:rPr>
        <w:t>年）</w:t>
      </w:r>
      <w:r>
        <w:rPr>
          <w:rFonts w:hint="eastAsia" w:eastAsia="仿宋_GB2312"/>
          <w:bCs/>
          <w:sz w:val="28"/>
          <w:highlight w:val="none"/>
          <w:lang w:eastAsia="zh-CN"/>
        </w:rPr>
        <w:t>；</w:t>
      </w:r>
    </w:p>
    <w:p>
      <w:pPr>
        <w:numPr>
          <w:ilvl w:val="0"/>
          <w:numId w:val="0"/>
        </w:numPr>
        <w:tabs>
          <w:tab w:val="left" w:pos="1512"/>
          <w:tab w:val="left" w:pos="1985"/>
        </w:tabs>
        <w:adjustRightInd w:val="0"/>
        <w:snapToGrid w:val="0"/>
        <w:spacing w:line="360" w:lineRule="auto"/>
        <w:ind w:left="539" w:leftChars="0"/>
        <w:rPr>
          <w:rFonts w:eastAsia="仿宋_GB2312"/>
          <w:bCs/>
          <w:color w:val="000000" w:themeColor="text1"/>
          <w:sz w:val="28"/>
          <w:highlight w:val="none"/>
          <w14:textFill>
            <w14:solidFill>
              <w14:schemeClr w14:val="tx1"/>
            </w14:solidFill>
          </w14:textFill>
        </w:rPr>
      </w:pPr>
      <w:r>
        <w:rPr>
          <w:rFonts w:hint="eastAsia" w:eastAsia="仿宋_GB2312"/>
          <w:bCs/>
          <w:color w:val="000000" w:themeColor="text1"/>
          <w:sz w:val="28"/>
          <w:highlight w:val="none"/>
          <w:lang w:eastAsia="zh-CN"/>
          <w14:textFill>
            <w14:solidFill>
              <w14:schemeClr w14:val="tx1"/>
            </w14:solidFill>
          </w14:textFill>
        </w:rPr>
        <w:t>（</w:t>
      </w:r>
      <w:r>
        <w:rPr>
          <w:rFonts w:hint="eastAsia" w:eastAsia="仿宋_GB2312"/>
          <w:bCs/>
          <w:color w:val="000000" w:themeColor="text1"/>
          <w:sz w:val="28"/>
          <w:highlight w:val="none"/>
          <w:lang w:val="en-US" w:eastAsia="zh-CN"/>
          <w14:textFill>
            <w14:solidFill>
              <w14:schemeClr w14:val="tx1"/>
            </w14:solidFill>
          </w14:textFill>
        </w:rPr>
        <w:t>三）</w:t>
      </w:r>
      <w:r>
        <w:rPr>
          <w:rFonts w:hint="eastAsia" w:eastAsia="仿宋_GB2312"/>
          <w:bCs/>
          <w:color w:val="000000" w:themeColor="text1"/>
          <w:sz w:val="28"/>
          <w:highlight w:val="none"/>
          <w14:textFill>
            <w14:solidFill>
              <w14:schemeClr w14:val="tx1"/>
            </w14:solidFill>
          </w14:textFill>
        </w:rPr>
        <w:t>评估人员对评估对象进行勘查核实的记录；</w:t>
      </w:r>
    </w:p>
    <w:p>
      <w:pPr>
        <w:numPr>
          <w:ilvl w:val="0"/>
          <w:numId w:val="0"/>
        </w:numPr>
        <w:tabs>
          <w:tab w:val="left" w:pos="1512"/>
          <w:tab w:val="left" w:pos="1985"/>
        </w:tabs>
        <w:adjustRightInd w:val="0"/>
        <w:snapToGrid w:val="0"/>
        <w:spacing w:line="360" w:lineRule="auto"/>
        <w:ind w:firstLine="560" w:firstLineChars="200"/>
        <w:rPr>
          <w:rFonts w:eastAsia="仿宋_GB2312"/>
          <w:bCs/>
          <w:color w:val="000000" w:themeColor="text1"/>
          <w:sz w:val="28"/>
          <w:highlight w:val="none"/>
          <w14:textFill>
            <w14:solidFill>
              <w14:schemeClr w14:val="tx1"/>
            </w14:solidFill>
          </w14:textFill>
        </w:rPr>
      </w:pPr>
      <w:r>
        <w:rPr>
          <w:rFonts w:hint="eastAsia" w:eastAsia="仿宋_GB2312"/>
          <w:bCs/>
          <w:color w:val="000000" w:themeColor="text1"/>
          <w:sz w:val="28"/>
          <w:highlight w:val="none"/>
          <w:lang w:eastAsia="zh-CN"/>
          <w14:textFill>
            <w14:solidFill>
              <w14:schemeClr w14:val="tx1"/>
            </w14:solidFill>
          </w14:textFill>
        </w:rPr>
        <w:t>（</w:t>
      </w:r>
      <w:r>
        <w:rPr>
          <w:rFonts w:hint="eastAsia" w:eastAsia="仿宋_GB2312"/>
          <w:bCs/>
          <w:color w:val="000000" w:themeColor="text1"/>
          <w:sz w:val="28"/>
          <w:highlight w:val="none"/>
          <w:lang w:val="en-US" w:eastAsia="zh-CN"/>
          <w14:textFill>
            <w14:solidFill>
              <w14:schemeClr w14:val="tx1"/>
            </w14:solidFill>
          </w14:textFill>
        </w:rPr>
        <w:t>四）</w:t>
      </w:r>
      <w:r>
        <w:rPr>
          <w:rFonts w:hint="eastAsia" w:eastAsia="仿宋_GB2312"/>
          <w:bCs/>
          <w:color w:val="000000" w:themeColor="text1"/>
          <w:sz w:val="28"/>
          <w:highlight w:val="none"/>
          <w14:textFill>
            <w14:solidFill>
              <w14:schemeClr w14:val="tx1"/>
            </w14:solidFill>
          </w14:textFill>
        </w:rPr>
        <w:t>评估人员收集的相关市场资料。</w:t>
      </w:r>
    </w:p>
    <w:p>
      <w:pPr>
        <w:pStyle w:val="4"/>
        <w:ind w:left="567" w:hanging="567"/>
        <w:rPr>
          <w:rFonts w:ascii="仿宋_GB2312" w:eastAsia="仿宋_GB2312"/>
          <w:sz w:val="28"/>
          <w:szCs w:val="28"/>
          <w:highlight w:val="none"/>
        </w:rPr>
      </w:pPr>
      <w:bookmarkStart w:id="18" w:name="_Toc15899"/>
      <w:r>
        <w:rPr>
          <w:rFonts w:ascii="仿宋_GB2312" w:eastAsia="仿宋_GB2312"/>
          <w:sz w:val="28"/>
          <w:szCs w:val="28"/>
          <w:highlight w:val="none"/>
        </w:rPr>
        <w:t>评估方法</w:t>
      </w:r>
      <w:bookmarkEnd w:id="18"/>
    </w:p>
    <w:p>
      <w:pPr>
        <w:widowControl/>
        <w:adjustRightInd w:val="0"/>
        <w:spacing w:line="360" w:lineRule="auto"/>
        <w:ind w:firstLine="540"/>
        <w:rPr>
          <w:rFonts w:eastAsia="仿宋_GB2312"/>
          <w:sz w:val="28"/>
          <w:szCs w:val="28"/>
          <w:highlight w:val="none"/>
        </w:rPr>
      </w:pPr>
      <w:r>
        <w:rPr>
          <w:rFonts w:hint="eastAsia" w:eastAsia="仿宋_GB2312"/>
          <w:sz w:val="28"/>
          <w:szCs w:val="28"/>
          <w:highlight w:val="none"/>
        </w:rPr>
        <w:t>资产评估基本方法包括市场法、收益法和成本法。</w:t>
      </w:r>
    </w:p>
    <w:p>
      <w:pPr>
        <w:widowControl/>
        <w:adjustRightInd w:val="0"/>
        <w:spacing w:line="360" w:lineRule="auto"/>
        <w:ind w:firstLine="540"/>
        <w:rPr>
          <w:rFonts w:eastAsia="仿宋_GB2312"/>
          <w:sz w:val="28"/>
          <w:szCs w:val="28"/>
          <w:highlight w:val="none"/>
        </w:rPr>
      </w:pPr>
      <w:r>
        <w:rPr>
          <w:rFonts w:hint="eastAsia" w:eastAsia="仿宋_GB2312"/>
          <w:sz w:val="28"/>
          <w:szCs w:val="28"/>
          <w:highlight w:val="none"/>
        </w:rPr>
        <w:t>市场法，是指将评估对象与可比上市公司或者可比交易案例进行比较，确定评估对象价值的评估方法。</w:t>
      </w:r>
    </w:p>
    <w:p>
      <w:pPr>
        <w:widowControl/>
        <w:adjustRightInd w:val="0"/>
        <w:spacing w:line="360" w:lineRule="auto"/>
        <w:ind w:firstLine="540"/>
        <w:rPr>
          <w:rFonts w:eastAsia="仿宋_GB2312"/>
          <w:sz w:val="28"/>
          <w:szCs w:val="28"/>
          <w:highlight w:val="none"/>
        </w:rPr>
      </w:pPr>
      <w:r>
        <w:rPr>
          <w:rFonts w:hint="eastAsia" w:eastAsia="仿宋_GB2312"/>
          <w:sz w:val="28"/>
          <w:szCs w:val="28"/>
          <w:highlight w:val="none"/>
        </w:rPr>
        <w:t>收益法，是指将预期收益资本化或者折现，确定评估对象价值的评估方法。</w:t>
      </w:r>
    </w:p>
    <w:p>
      <w:pPr>
        <w:widowControl/>
        <w:adjustRightInd w:val="0"/>
        <w:spacing w:line="360" w:lineRule="auto"/>
        <w:ind w:firstLine="540"/>
        <w:rPr>
          <w:rFonts w:eastAsia="仿宋_GB2312"/>
          <w:sz w:val="28"/>
          <w:szCs w:val="28"/>
          <w:highlight w:val="none"/>
        </w:rPr>
      </w:pPr>
      <w:r>
        <w:rPr>
          <w:rFonts w:hint="eastAsia" w:eastAsia="仿宋_GB2312"/>
          <w:sz w:val="28"/>
          <w:szCs w:val="28"/>
          <w:highlight w:val="none"/>
        </w:rPr>
        <w:t>成本法是指按照重建或者重置被评估对象的思路，将重建或者重置成本作为确定评估对象价值的基础，扣除相关贬值，以此确定评估对象价值的评估方法。</w:t>
      </w:r>
    </w:p>
    <w:p>
      <w:pPr>
        <w:widowControl/>
        <w:adjustRightInd w:val="0"/>
        <w:spacing w:line="360" w:lineRule="auto"/>
        <w:ind w:firstLine="540"/>
        <w:rPr>
          <w:rFonts w:eastAsia="仿宋_GB2312"/>
          <w:sz w:val="28"/>
          <w:szCs w:val="28"/>
          <w:highlight w:val="none"/>
        </w:rPr>
      </w:pPr>
      <w:r>
        <w:rPr>
          <w:rFonts w:hint="eastAsia" w:eastAsia="仿宋_GB2312"/>
          <w:sz w:val="28"/>
          <w:szCs w:val="28"/>
          <w:highlight w:val="none"/>
        </w:rPr>
        <w:t>因评估对象为单项资产，不能独立获得收益，资产的不完整性致使采用收益法受限，不具备采用收益法实施评估的操作条件，本次评估无法采用收益法。</w:t>
      </w:r>
    </w:p>
    <w:p>
      <w:pPr>
        <w:pStyle w:val="37"/>
        <w:ind w:firstLine="560" w:firstLineChars="200"/>
        <w:rPr>
          <w:rFonts w:eastAsia="仿宋_GB2312"/>
          <w:sz w:val="28"/>
          <w:szCs w:val="28"/>
          <w:highlight w:val="none"/>
        </w:rPr>
      </w:pPr>
      <w:r>
        <w:rPr>
          <w:rFonts w:hint="eastAsia"/>
          <w:highlight w:val="none"/>
        </w:rPr>
        <w:t>由于无法收集到预测其未来收益及风险所需的必要资料，不具备采用收益法实施评估的操作条件，本次评估无法采用收益法。</w:t>
      </w:r>
    </w:p>
    <w:p>
      <w:pPr>
        <w:widowControl/>
        <w:adjustRightInd w:val="0"/>
        <w:snapToGrid w:val="0"/>
        <w:spacing w:line="360" w:lineRule="auto"/>
        <w:ind w:firstLine="560" w:firstLineChars="200"/>
        <w:rPr>
          <w:rFonts w:eastAsia="仿宋_GB2312"/>
          <w:sz w:val="28"/>
          <w:szCs w:val="28"/>
          <w:highlight w:val="none"/>
        </w:rPr>
      </w:pPr>
      <w:r>
        <w:rPr>
          <w:rFonts w:hint="eastAsia" w:eastAsia="仿宋_GB2312"/>
          <w:sz w:val="28"/>
          <w:highlight w:val="none"/>
        </w:rPr>
        <w:t>因评估对象能正常使用，其重置成本以及相关贬值能够合理估算，故具备成本法应用的条件。</w:t>
      </w:r>
    </w:p>
    <w:p>
      <w:pPr>
        <w:widowControl/>
        <w:adjustRightInd w:val="0"/>
        <w:spacing w:line="360" w:lineRule="auto"/>
        <w:ind w:firstLine="540"/>
        <w:rPr>
          <w:rFonts w:eastAsia="仿宋_GB2312"/>
          <w:color w:val="auto"/>
          <w:sz w:val="28"/>
          <w:szCs w:val="28"/>
          <w:highlight w:val="none"/>
        </w:rPr>
      </w:pPr>
      <w:r>
        <w:rPr>
          <w:rFonts w:hint="eastAsia" w:eastAsia="仿宋_GB2312"/>
          <w:bCs/>
          <w:sz w:val="28"/>
          <w:highlight w:val="none"/>
        </w:rPr>
        <w:t>根据本次评估目的和评估对象的特点，以及评估方法的适用条件，选择</w:t>
      </w:r>
      <w:r>
        <w:rPr>
          <w:rFonts w:hint="eastAsia" w:eastAsia="仿宋_GB2312"/>
          <w:bCs/>
          <w:color w:val="auto"/>
          <w:sz w:val="28"/>
          <w:highlight w:val="none"/>
          <w:lang w:val="en-US" w:eastAsia="zh-CN"/>
        </w:rPr>
        <w:t>成本法</w:t>
      </w:r>
      <w:r>
        <w:rPr>
          <w:rFonts w:hint="eastAsia" w:eastAsia="仿宋_GB2312"/>
          <w:bCs/>
          <w:color w:val="auto"/>
          <w:sz w:val="28"/>
          <w:highlight w:val="none"/>
        </w:rPr>
        <w:t>进行评估</w:t>
      </w:r>
      <w:r>
        <w:rPr>
          <w:rFonts w:hint="eastAsia" w:eastAsia="仿宋_GB2312"/>
          <w:color w:val="auto"/>
          <w:sz w:val="28"/>
          <w:szCs w:val="28"/>
          <w:highlight w:val="none"/>
        </w:rPr>
        <w:t>。</w:t>
      </w:r>
    </w:p>
    <w:p>
      <w:pPr>
        <w:widowControl/>
        <w:adjustRightInd w:val="0"/>
        <w:snapToGrid w:val="0"/>
        <w:spacing w:line="348" w:lineRule="auto"/>
        <w:ind w:firstLine="540"/>
        <w:jc w:val="left"/>
        <w:rPr>
          <w:rFonts w:hint="eastAsia" w:eastAsia="仿宋_GB2312"/>
          <w:color w:val="auto"/>
          <w:position w:val="8"/>
          <w:sz w:val="28"/>
          <w:szCs w:val="28"/>
          <w:highlight w:val="none"/>
        </w:rPr>
      </w:pPr>
      <w:r>
        <w:rPr>
          <w:rFonts w:hint="eastAsia" w:eastAsia="仿宋_GB2312"/>
          <w:b/>
          <w:sz w:val="28"/>
          <w:highlight w:val="none"/>
        </w:rPr>
        <w:t>具体的评估方法如下：</w:t>
      </w:r>
    </w:p>
    <w:p>
      <w:pPr>
        <w:adjustRightInd w:val="0"/>
        <w:snapToGrid w:val="0"/>
        <w:spacing w:line="360" w:lineRule="auto"/>
        <w:ind w:firstLine="560" w:firstLineChars="200"/>
        <w:rPr>
          <w:rFonts w:hint="eastAsia" w:eastAsia="仿宋_GB2312"/>
          <w:position w:val="8"/>
          <w:sz w:val="28"/>
          <w:szCs w:val="28"/>
          <w:highlight w:val="none"/>
        </w:rPr>
      </w:pPr>
      <w:r>
        <w:rPr>
          <w:rFonts w:hint="eastAsia" w:eastAsia="仿宋_GB2312"/>
          <w:color w:val="auto"/>
          <w:position w:val="8"/>
          <w:sz w:val="28"/>
          <w:szCs w:val="28"/>
          <w:highlight w:val="none"/>
        </w:rPr>
        <w:t>根据评估目的和被评估设备的特点，主要采用重置成本法进行评估。对可以搜集二手市场交</w:t>
      </w:r>
      <w:r>
        <w:rPr>
          <w:rFonts w:hint="eastAsia" w:eastAsia="仿宋_GB2312"/>
          <w:position w:val="8"/>
          <w:sz w:val="28"/>
          <w:szCs w:val="28"/>
          <w:highlight w:val="none"/>
        </w:rPr>
        <w:t>易信息的设备采用市场法评估。</w:t>
      </w:r>
    </w:p>
    <w:p>
      <w:pPr>
        <w:widowControl/>
        <w:adjustRightInd w:val="0"/>
        <w:snapToGrid w:val="0"/>
        <w:spacing w:line="348" w:lineRule="auto"/>
        <w:ind w:firstLine="540"/>
        <w:jc w:val="left"/>
        <w:rPr>
          <w:rFonts w:eastAsia="仿宋_GB2312"/>
          <w:sz w:val="28"/>
          <w:szCs w:val="28"/>
          <w:highlight w:val="none"/>
        </w:rPr>
      </w:pPr>
      <w:r>
        <w:rPr>
          <w:rFonts w:hint="eastAsia" w:eastAsia="仿宋_GB2312"/>
          <w:sz w:val="28"/>
          <w:highlight w:val="none"/>
        </w:rPr>
        <w:t>公式为：</w:t>
      </w:r>
    </w:p>
    <w:p>
      <w:pPr>
        <w:adjustRightInd w:val="0"/>
        <w:snapToGrid w:val="0"/>
        <w:spacing w:line="360" w:lineRule="auto"/>
        <w:ind w:firstLine="539"/>
        <w:rPr>
          <w:rFonts w:eastAsia="仿宋_GB2312"/>
          <w:sz w:val="28"/>
          <w:szCs w:val="28"/>
          <w:highlight w:val="none"/>
        </w:rPr>
      </w:pPr>
      <w:r>
        <w:rPr>
          <w:rFonts w:eastAsia="仿宋_GB2312"/>
          <w:sz w:val="28"/>
          <w:szCs w:val="28"/>
          <w:highlight w:val="none"/>
        </w:rPr>
        <w:t>评估价值=重置</w:t>
      </w:r>
      <w:r>
        <w:rPr>
          <w:rFonts w:hint="eastAsia" w:hAnsi="Arial" w:eastAsia="仿宋_GB2312"/>
          <w:sz w:val="28"/>
          <w:szCs w:val="28"/>
          <w:highlight w:val="none"/>
        </w:rPr>
        <w:t>全价</w:t>
      </w:r>
      <w:r>
        <w:rPr>
          <w:rFonts w:eastAsia="仿宋_GB2312"/>
          <w:sz w:val="28"/>
          <w:szCs w:val="28"/>
          <w:highlight w:val="none"/>
        </w:rPr>
        <w:t>×成新率</w:t>
      </w:r>
    </w:p>
    <w:p>
      <w:pPr>
        <w:numPr>
          <w:ilvl w:val="0"/>
          <w:numId w:val="6"/>
        </w:numPr>
        <w:adjustRightInd w:val="0"/>
        <w:snapToGrid w:val="0"/>
        <w:spacing w:line="360" w:lineRule="auto"/>
        <w:ind w:firstLine="539"/>
        <w:rPr>
          <w:rFonts w:hint="eastAsia" w:hAnsi="Arial" w:eastAsia="仿宋_GB2312"/>
          <w:sz w:val="28"/>
          <w:szCs w:val="28"/>
          <w:highlight w:val="none"/>
        </w:rPr>
      </w:pPr>
      <w:r>
        <w:rPr>
          <w:rFonts w:hint="eastAsia" w:hAnsi="Arial" w:eastAsia="仿宋_GB2312"/>
          <w:sz w:val="28"/>
          <w:szCs w:val="28"/>
          <w:highlight w:val="none"/>
        </w:rPr>
        <w:t>重置全价的确定</w:t>
      </w:r>
    </w:p>
    <w:p>
      <w:pPr>
        <w:pStyle w:val="44"/>
        <w:adjustRightInd w:val="0"/>
        <w:snapToGrid w:val="0"/>
        <w:spacing w:line="360" w:lineRule="auto"/>
        <w:ind w:left="420" w:leftChars="200" w:firstLine="0" w:firstLineChars="0"/>
        <w:rPr>
          <w:rFonts w:hAnsi="Arial" w:eastAsia="仿宋_GB2312"/>
          <w:sz w:val="28"/>
          <w:szCs w:val="28"/>
          <w:highlight w:val="none"/>
        </w:rPr>
      </w:pPr>
      <w:r>
        <w:rPr>
          <w:rFonts w:hint="eastAsia" w:ascii="仿宋_GB2312" w:eastAsia="仿宋_GB2312"/>
          <w:sz w:val="28"/>
          <w:highlight w:val="none"/>
          <w:lang w:eastAsia="zh-CN"/>
        </w:rPr>
        <w:t>（</w:t>
      </w:r>
      <w:r>
        <w:rPr>
          <w:rFonts w:hint="eastAsia" w:ascii="仿宋_GB2312" w:eastAsia="仿宋_GB2312"/>
          <w:sz w:val="28"/>
          <w:highlight w:val="none"/>
          <w:lang w:val="en-US" w:eastAsia="zh-CN"/>
        </w:rPr>
        <w:t>1）</w:t>
      </w:r>
      <w:r>
        <w:rPr>
          <w:rFonts w:hint="eastAsia" w:ascii="仿宋_GB2312" w:eastAsia="仿宋_GB2312"/>
          <w:sz w:val="28"/>
          <w:highlight w:val="none"/>
        </w:rPr>
        <w:t>机器</w:t>
      </w:r>
      <w:r>
        <w:rPr>
          <w:rFonts w:hint="eastAsia" w:hAnsi="Arial" w:eastAsia="仿宋_GB2312"/>
          <w:sz w:val="28"/>
          <w:szCs w:val="28"/>
          <w:highlight w:val="none"/>
        </w:rPr>
        <w:t>设备</w:t>
      </w:r>
    </w:p>
    <w:p>
      <w:pPr>
        <w:adjustRightInd w:val="0"/>
        <w:snapToGrid w:val="0"/>
        <w:spacing w:line="360" w:lineRule="auto"/>
        <w:ind w:firstLine="539"/>
        <w:rPr>
          <w:rFonts w:hint="eastAsia" w:eastAsia="仿宋_GB2312"/>
          <w:kern w:val="0"/>
          <w:sz w:val="28"/>
          <w:szCs w:val="20"/>
          <w:highlight w:val="none"/>
        </w:rPr>
      </w:pPr>
      <w:r>
        <w:rPr>
          <w:rFonts w:hint="eastAsia" w:eastAsia="仿宋_GB2312"/>
          <w:kern w:val="0"/>
          <w:sz w:val="28"/>
          <w:szCs w:val="20"/>
          <w:highlight w:val="none"/>
        </w:rPr>
        <w:t>重置全价一般包括设备购置费、运杂费、安装调试费、前期和其他费用、资金成本；设备购置费以外费用（成本）的计取内容和方式，根据相关设备特点、评估中获得的设备价格口径及交易条件加以确定。</w:t>
      </w:r>
    </w:p>
    <w:p>
      <w:pPr>
        <w:adjustRightInd w:val="0"/>
        <w:snapToGrid w:val="0"/>
        <w:spacing w:line="360" w:lineRule="auto"/>
        <w:ind w:firstLine="539"/>
        <w:rPr>
          <w:rFonts w:hint="eastAsia" w:eastAsia="仿宋_GB2312"/>
          <w:kern w:val="0"/>
          <w:sz w:val="28"/>
          <w:szCs w:val="20"/>
          <w:highlight w:val="none"/>
        </w:rPr>
      </w:pPr>
      <w:r>
        <w:rPr>
          <w:rFonts w:hint="eastAsia" w:eastAsia="仿宋_GB2312"/>
          <w:kern w:val="0"/>
          <w:sz w:val="28"/>
          <w:szCs w:val="20"/>
          <w:highlight w:val="none"/>
        </w:rPr>
        <w:t>其中：</w:t>
      </w:r>
    </w:p>
    <w:p>
      <w:pPr>
        <w:adjustRightInd w:val="0"/>
        <w:snapToGrid w:val="0"/>
        <w:spacing w:line="360" w:lineRule="auto"/>
        <w:ind w:firstLine="539"/>
        <w:rPr>
          <w:rFonts w:hint="eastAsia" w:eastAsia="仿宋_GB2312"/>
          <w:kern w:val="0"/>
          <w:sz w:val="28"/>
          <w:szCs w:val="20"/>
          <w:highlight w:val="none"/>
        </w:rPr>
      </w:pPr>
      <w:r>
        <w:rPr>
          <w:rFonts w:hint="eastAsia" w:eastAsia="仿宋_GB2312"/>
          <w:kern w:val="0"/>
          <w:sz w:val="28"/>
          <w:szCs w:val="20"/>
          <w:highlight w:val="none"/>
        </w:rPr>
        <w:t>设备购置费</w:t>
      </w:r>
      <w:r>
        <w:rPr>
          <w:rFonts w:hint="eastAsia" w:eastAsia="仿宋_GB2312"/>
          <w:kern w:val="0"/>
          <w:sz w:val="28"/>
          <w:szCs w:val="20"/>
          <w:highlight w:val="none"/>
          <w:lang w:eastAsia="zh-CN"/>
        </w:rPr>
        <w:t>，</w:t>
      </w:r>
      <w:r>
        <w:rPr>
          <w:rFonts w:hint="eastAsia" w:eastAsia="仿宋_GB2312"/>
          <w:kern w:val="0"/>
          <w:sz w:val="28"/>
          <w:szCs w:val="20"/>
          <w:highlight w:val="none"/>
        </w:rPr>
        <w:t>如目前市场仍有此种设备采用询价方式，再考虑相应的运费、安装调试费、前期及其他费用、资金成本等确定其重置价值；对于无法询价也无替代产品的设备，在核实其原始购置成本基本合理的情况下，采用物价指数调整法来确定其重置价值。</w:t>
      </w:r>
    </w:p>
    <w:p>
      <w:pPr>
        <w:adjustRightInd w:val="0"/>
        <w:snapToGrid w:val="0"/>
        <w:spacing w:line="360" w:lineRule="auto"/>
        <w:ind w:firstLine="539"/>
        <w:rPr>
          <w:rFonts w:hint="eastAsia" w:eastAsia="仿宋_GB2312"/>
          <w:kern w:val="0"/>
          <w:sz w:val="28"/>
          <w:szCs w:val="20"/>
          <w:highlight w:val="none"/>
        </w:rPr>
      </w:pPr>
      <w:r>
        <w:rPr>
          <w:rFonts w:hint="eastAsia" w:eastAsia="仿宋_GB2312"/>
          <w:kern w:val="0"/>
          <w:sz w:val="28"/>
          <w:szCs w:val="20"/>
          <w:highlight w:val="none"/>
        </w:rPr>
        <w:t>运杂费</w:t>
      </w:r>
      <w:r>
        <w:rPr>
          <w:rFonts w:hint="eastAsia" w:eastAsia="仿宋_GB2312"/>
          <w:kern w:val="0"/>
          <w:sz w:val="28"/>
          <w:szCs w:val="20"/>
          <w:highlight w:val="none"/>
          <w:lang w:eastAsia="zh-CN"/>
        </w:rPr>
        <w:t>，</w:t>
      </w:r>
      <w:r>
        <w:rPr>
          <w:rFonts w:hint="eastAsia" w:eastAsia="仿宋_GB2312"/>
          <w:kern w:val="0"/>
          <w:sz w:val="28"/>
          <w:szCs w:val="20"/>
          <w:highlight w:val="none"/>
        </w:rPr>
        <w:t>主要由采购费、运输费、装卸费、保管费等构成。根据被评估设备的类型、运距、运输方式等加以确定。</w:t>
      </w:r>
    </w:p>
    <w:p>
      <w:pPr>
        <w:adjustRightInd w:val="0"/>
        <w:snapToGrid w:val="0"/>
        <w:spacing w:line="360" w:lineRule="auto"/>
        <w:ind w:firstLine="539"/>
        <w:rPr>
          <w:rFonts w:hint="eastAsia" w:eastAsia="仿宋_GB2312"/>
          <w:kern w:val="0"/>
          <w:sz w:val="36"/>
          <w:szCs w:val="22"/>
          <w:highlight w:val="none"/>
          <w:lang w:val="en-US" w:eastAsia="zh-CN"/>
        </w:rPr>
      </w:pPr>
      <w:r>
        <w:rPr>
          <w:rFonts w:hint="eastAsia" w:eastAsia="仿宋_GB2312"/>
          <w:kern w:val="0"/>
          <w:sz w:val="28"/>
          <w:szCs w:val="20"/>
          <w:highlight w:val="none"/>
        </w:rPr>
        <w:t>安装调试费，根据被评估设备的用途、特点、安装难易程度等加以确定。对需单独设置基础的设备还根据其使用、荷载等计取基础费用</w:t>
      </w:r>
      <w:r>
        <w:rPr>
          <w:rFonts w:hint="eastAsia" w:eastAsia="仿宋_GB2312"/>
          <w:kern w:val="0"/>
          <w:sz w:val="28"/>
          <w:szCs w:val="20"/>
          <w:highlight w:val="none"/>
          <w:lang w:eastAsia="zh-CN"/>
        </w:rPr>
        <w:t>。</w:t>
      </w:r>
    </w:p>
    <w:p>
      <w:pPr>
        <w:adjustRightInd w:val="0"/>
        <w:snapToGrid w:val="0"/>
        <w:spacing w:line="360" w:lineRule="auto"/>
        <w:ind w:firstLine="560" w:firstLineChars="200"/>
        <w:rPr>
          <w:rFonts w:hint="eastAsia" w:eastAsia="仿宋_GB2312"/>
          <w:sz w:val="28"/>
          <w:highlight w:val="none"/>
        </w:rPr>
      </w:pPr>
      <w:r>
        <w:rPr>
          <w:rFonts w:hint="eastAsia" w:eastAsia="仿宋_GB2312"/>
          <w:sz w:val="28"/>
          <w:highlight w:val="none"/>
          <w:lang w:eastAsia="zh-CN"/>
        </w:rPr>
        <w:t>（</w:t>
      </w:r>
      <w:r>
        <w:rPr>
          <w:rFonts w:hint="eastAsia" w:eastAsia="仿宋_GB2312"/>
          <w:sz w:val="28"/>
          <w:highlight w:val="none"/>
          <w:lang w:val="en-US" w:eastAsia="zh-CN"/>
        </w:rPr>
        <w:t>2）</w:t>
      </w:r>
      <w:r>
        <w:rPr>
          <w:rFonts w:hint="eastAsia" w:eastAsia="仿宋_GB2312"/>
          <w:sz w:val="28"/>
          <w:highlight w:val="none"/>
        </w:rPr>
        <w:t>电子设备</w:t>
      </w:r>
    </w:p>
    <w:p>
      <w:pPr>
        <w:pStyle w:val="2"/>
        <w:spacing w:line="360" w:lineRule="auto"/>
        <w:ind w:firstLine="560"/>
        <w:rPr>
          <w:rFonts w:hint="eastAsia" w:eastAsia="仿宋_GB2312"/>
          <w:sz w:val="28"/>
          <w:highlight w:val="none"/>
        </w:rPr>
      </w:pPr>
      <w:r>
        <w:rPr>
          <w:rFonts w:eastAsia="仿宋_GB2312"/>
          <w:sz w:val="28"/>
          <w:highlight w:val="none"/>
        </w:rPr>
        <w:t>主要查询当期相关报价资料或通过网上询价确定其重置价值</w:t>
      </w:r>
      <w:r>
        <w:rPr>
          <w:rFonts w:hint="eastAsia" w:eastAsia="仿宋_GB2312"/>
          <w:sz w:val="28"/>
          <w:highlight w:val="none"/>
        </w:rPr>
        <w:t>。</w:t>
      </w:r>
    </w:p>
    <w:p>
      <w:pPr>
        <w:pStyle w:val="2"/>
        <w:numPr>
          <w:ilvl w:val="0"/>
          <w:numId w:val="6"/>
        </w:numPr>
        <w:spacing w:line="360" w:lineRule="auto"/>
        <w:ind w:firstLine="539" w:firstLineChars="0"/>
        <w:rPr>
          <w:rFonts w:eastAsia="仿宋_GB2312"/>
          <w:bCs/>
          <w:color w:val="auto"/>
          <w:sz w:val="28"/>
          <w:highlight w:val="none"/>
        </w:rPr>
      </w:pPr>
      <w:r>
        <w:rPr>
          <w:rFonts w:hint="eastAsia" w:ascii="Times New Roman" w:hAnsi="Times New Roman" w:eastAsia="仿宋_GB2312"/>
          <w:bCs/>
          <w:color w:val="auto"/>
          <w:sz w:val="28"/>
          <w:highlight w:val="none"/>
        </w:rPr>
        <w:t>设备</w:t>
      </w:r>
      <w:r>
        <w:rPr>
          <w:rFonts w:hint="eastAsia" w:ascii="仿宋_GB2312" w:eastAsia="仿宋_GB2312"/>
          <w:color w:val="auto"/>
          <w:sz w:val="28"/>
          <w:highlight w:val="none"/>
        </w:rPr>
        <w:t>成新率的确定</w:t>
      </w:r>
    </w:p>
    <w:p>
      <w:pPr>
        <w:pStyle w:val="26"/>
        <w:adjustRightInd w:val="0"/>
        <w:ind w:firstLine="560" w:firstLineChars="200"/>
        <w:rPr>
          <w:rFonts w:hint="eastAsia"/>
          <w:color w:val="auto"/>
          <w:highlight w:val="none"/>
        </w:rPr>
      </w:pPr>
      <w:r>
        <w:rPr>
          <w:rFonts w:hint="eastAsia"/>
          <w:color w:val="auto"/>
          <w:highlight w:val="none"/>
        </w:rPr>
        <w:t>成新率=设备尚可使用年限÷（设备已使用年限+设备尚可使用年限）×100%</w:t>
      </w:r>
    </w:p>
    <w:p>
      <w:pPr>
        <w:pStyle w:val="4"/>
        <w:keepNext w:val="0"/>
        <w:keepLines w:val="0"/>
        <w:ind w:left="567" w:hanging="567"/>
        <w:rPr>
          <w:rFonts w:ascii="仿宋_GB2312" w:eastAsia="仿宋_GB2312"/>
          <w:sz w:val="28"/>
          <w:szCs w:val="28"/>
          <w:highlight w:val="none"/>
        </w:rPr>
      </w:pPr>
      <w:bookmarkStart w:id="19" w:name="_Toc15388"/>
      <w:r>
        <w:rPr>
          <w:rFonts w:hint="eastAsia" w:ascii="仿宋_GB2312" w:eastAsia="仿宋_GB2312"/>
          <w:sz w:val="28"/>
          <w:szCs w:val="28"/>
          <w:highlight w:val="none"/>
        </w:rPr>
        <w:t>评估程序实施过程和情况</w:t>
      </w:r>
      <w:bookmarkEnd w:id="19"/>
    </w:p>
    <w:p>
      <w:pPr>
        <w:adjustRightInd w:val="0"/>
        <w:snapToGrid w:val="0"/>
        <w:spacing w:line="360" w:lineRule="auto"/>
        <w:ind w:firstLine="560" w:firstLineChars="200"/>
        <w:rPr>
          <w:rFonts w:eastAsia="仿宋_GB2312"/>
          <w:sz w:val="28"/>
          <w:highlight w:val="none"/>
        </w:rPr>
      </w:pPr>
      <w:r>
        <w:rPr>
          <w:rFonts w:eastAsia="仿宋_GB2312"/>
          <w:sz w:val="28"/>
          <w:highlight w:val="none"/>
        </w:rPr>
        <w:t>评估人员对纳入此次评估范围的资产进行了评估。主要评估过程如下：</w:t>
      </w:r>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（一）</w:t>
      </w:r>
      <w:r>
        <w:rPr>
          <w:rFonts w:eastAsia="仿宋_GB2312"/>
          <w:sz w:val="28"/>
          <w:highlight w:val="none"/>
        </w:rPr>
        <w:t>接受委托</w:t>
      </w:r>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本资产评估机构收到</w:t>
      </w:r>
      <w:r>
        <w:rPr>
          <w:rFonts w:hint="eastAsia" w:eastAsia="仿宋_GB2312"/>
          <w:sz w:val="28"/>
          <w:highlight w:val="none"/>
          <w:lang w:eastAsia="zh-CN"/>
        </w:rPr>
        <w:t>永宁县人民法院</w:t>
      </w:r>
      <w:r>
        <w:rPr>
          <w:rFonts w:hint="eastAsia" w:eastAsia="仿宋_GB2312"/>
          <w:sz w:val="28"/>
          <w:highlight w:val="none"/>
        </w:rPr>
        <w:t>下达的（（2020）宁</w:t>
      </w:r>
      <w:r>
        <w:rPr>
          <w:rFonts w:hint="eastAsia" w:eastAsia="仿宋_GB2312"/>
          <w:sz w:val="28"/>
          <w:highlight w:val="none"/>
          <w:lang w:eastAsia="zh-CN"/>
        </w:rPr>
        <w:t>0121执恢</w:t>
      </w:r>
      <w:r>
        <w:rPr>
          <w:rFonts w:hint="eastAsia" w:eastAsia="仿宋_GB2312"/>
          <w:sz w:val="28"/>
          <w:highlight w:val="none"/>
        </w:rPr>
        <w:t>137号《</w:t>
      </w:r>
      <w:r>
        <w:rPr>
          <w:rFonts w:hint="eastAsia" w:eastAsia="仿宋_GB2312"/>
          <w:sz w:val="28"/>
          <w:highlight w:val="none"/>
          <w:lang w:eastAsia="zh-CN"/>
        </w:rPr>
        <w:t>永宁县人民法院</w:t>
      </w:r>
      <w:r>
        <w:rPr>
          <w:rFonts w:hint="eastAsia" w:eastAsia="仿宋_GB2312"/>
          <w:sz w:val="28"/>
          <w:highlight w:val="none"/>
        </w:rPr>
        <w:t>委托书》之后，与</w:t>
      </w:r>
      <w:r>
        <w:rPr>
          <w:rFonts w:hint="eastAsia" w:eastAsia="仿宋_GB2312"/>
          <w:sz w:val="28"/>
          <w:highlight w:val="none"/>
          <w:lang w:eastAsia="zh-CN"/>
        </w:rPr>
        <w:t>永宁县人民法院</w:t>
      </w:r>
      <w:r>
        <w:rPr>
          <w:rFonts w:hint="eastAsia" w:eastAsia="仿宋_GB2312"/>
          <w:sz w:val="28"/>
          <w:highlight w:val="none"/>
        </w:rPr>
        <w:t>的执行法官进行了电话沟通，详细了解了此次评估的目的、评估对象与评估范围、评估基准日等，在此基础上，拟定了相应的评估计划。</w:t>
      </w:r>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（二）</w:t>
      </w:r>
      <w:r>
        <w:rPr>
          <w:rFonts w:eastAsia="仿宋_GB2312"/>
          <w:sz w:val="28"/>
          <w:highlight w:val="none"/>
        </w:rPr>
        <w:t>现场</w:t>
      </w:r>
      <w:r>
        <w:rPr>
          <w:rFonts w:hint="eastAsia" w:eastAsia="仿宋_GB2312"/>
          <w:sz w:val="28"/>
          <w:highlight w:val="none"/>
        </w:rPr>
        <w:t>调</w:t>
      </w:r>
      <w:r>
        <w:rPr>
          <w:rFonts w:eastAsia="仿宋_GB2312"/>
          <w:sz w:val="28"/>
          <w:highlight w:val="none"/>
        </w:rPr>
        <w:t>查</w:t>
      </w:r>
      <w:r>
        <w:rPr>
          <w:rFonts w:hint="eastAsia" w:eastAsia="仿宋_GB2312"/>
          <w:sz w:val="28"/>
          <w:highlight w:val="none"/>
        </w:rPr>
        <w:t>、</w:t>
      </w:r>
      <w:r>
        <w:rPr>
          <w:rFonts w:eastAsia="仿宋_GB2312"/>
          <w:sz w:val="28"/>
          <w:highlight w:val="none"/>
        </w:rPr>
        <w:t>资料收集及核查验证</w:t>
      </w:r>
    </w:p>
    <w:p>
      <w:pPr>
        <w:widowControl/>
        <w:adjustRightInd w:val="0"/>
        <w:snapToGrid w:val="0"/>
        <w:spacing w:line="360" w:lineRule="auto"/>
        <w:ind w:firstLine="560" w:firstLineChars="200"/>
        <w:rPr>
          <w:rFonts w:eastAsia="仿宋_GB2312"/>
          <w:snapToGrid w:val="0"/>
          <w:sz w:val="28"/>
          <w:highlight w:val="none"/>
        </w:rPr>
      </w:pPr>
      <w:r>
        <w:rPr>
          <w:rFonts w:hint="eastAsia" w:eastAsia="仿宋_GB2312"/>
          <w:snapToGrid w:val="0"/>
          <w:sz w:val="28"/>
          <w:highlight w:val="none"/>
        </w:rPr>
        <w:t>根据</w:t>
      </w:r>
      <w:r>
        <w:rPr>
          <w:rFonts w:hint="eastAsia" w:eastAsia="仿宋_GB2312"/>
          <w:snapToGrid w:val="0"/>
          <w:sz w:val="28"/>
          <w:highlight w:val="none"/>
          <w:lang w:eastAsia="zh-CN"/>
        </w:rPr>
        <w:t>永宁县人民法院</w:t>
      </w:r>
      <w:r>
        <w:rPr>
          <w:rFonts w:hint="eastAsia" w:eastAsia="仿宋_GB2312"/>
          <w:snapToGrid w:val="0"/>
          <w:sz w:val="28"/>
          <w:highlight w:val="none"/>
        </w:rPr>
        <w:t>提供的资料，评估人员在承办法官的协同下，于</w:t>
      </w:r>
      <w:r>
        <w:rPr>
          <w:rFonts w:hint="eastAsia" w:eastAsia="仿宋_GB2312"/>
          <w:snapToGrid w:val="0"/>
          <w:sz w:val="28"/>
          <w:highlight w:val="none"/>
          <w:lang w:eastAsia="zh-CN"/>
        </w:rPr>
        <w:t>2023年3月28日</w:t>
      </w:r>
      <w:r>
        <w:rPr>
          <w:rFonts w:hint="eastAsia" w:eastAsia="仿宋_GB2312"/>
          <w:snapToGrid w:val="0"/>
          <w:sz w:val="28"/>
          <w:highlight w:val="none"/>
        </w:rPr>
        <w:t>对纳入评估范围的资产进行了必要的调查。</w:t>
      </w:r>
    </w:p>
    <w:p>
      <w:pPr>
        <w:widowControl/>
        <w:adjustRightInd w:val="0"/>
        <w:snapToGrid w:val="0"/>
        <w:spacing w:line="360" w:lineRule="auto"/>
        <w:ind w:firstLine="560" w:firstLineChars="200"/>
        <w:rPr>
          <w:highlight w:val="none"/>
        </w:rPr>
      </w:pPr>
      <w:r>
        <w:rPr>
          <w:rFonts w:eastAsia="仿宋_GB2312"/>
          <w:sz w:val="28"/>
          <w:highlight w:val="none"/>
        </w:rPr>
        <w:t>评估人员</w:t>
      </w:r>
      <w:r>
        <w:rPr>
          <w:rFonts w:eastAsia="仿宋_GB2312"/>
          <w:snapToGrid w:val="0"/>
          <w:sz w:val="28"/>
          <w:highlight w:val="none"/>
        </w:rPr>
        <w:t>听取</w:t>
      </w:r>
      <w:r>
        <w:rPr>
          <w:rFonts w:hint="eastAsia" w:eastAsia="仿宋_GB2312"/>
          <w:color w:val="000000"/>
          <w:sz w:val="28"/>
          <w:highlight w:val="none"/>
        </w:rPr>
        <w:t>执行法官等相关配合人员</w:t>
      </w:r>
      <w:r>
        <w:rPr>
          <w:rFonts w:hint="eastAsia" w:eastAsia="仿宋_GB2312"/>
          <w:snapToGrid w:val="0"/>
          <w:sz w:val="28"/>
          <w:highlight w:val="none"/>
        </w:rPr>
        <w:t>的</w:t>
      </w:r>
      <w:r>
        <w:rPr>
          <w:rFonts w:eastAsia="仿宋_GB2312"/>
          <w:snapToGrid w:val="0"/>
          <w:sz w:val="28"/>
          <w:highlight w:val="none"/>
        </w:rPr>
        <w:t>介绍，了</w:t>
      </w:r>
      <w:r>
        <w:rPr>
          <w:rFonts w:hint="eastAsia" w:eastAsia="仿宋_GB2312"/>
          <w:snapToGrid w:val="0"/>
          <w:sz w:val="28"/>
          <w:highlight w:val="none"/>
        </w:rPr>
        <w:t>解评估对象的现状，评估人员还根据评估对象特点和评估业务情况，通过委托人和市场等渠道收集了涉及评估对象和评估范围，支持评定估算等程序的相关资料。</w:t>
      </w:r>
    </w:p>
    <w:p>
      <w:pPr>
        <w:widowControl/>
        <w:adjustRightInd w:val="0"/>
        <w:snapToGrid w:val="0"/>
        <w:spacing w:line="360" w:lineRule="auto"/>
        <w:ind w:firstLine="560" w:firstLineChars="200"/>
        <w:rPr>
          <w:rFonts w:ascii="Arial" w:hAnsi="Arial" w:eastAsia="仿宋_GB2312" w:cs="Arial"/>
          <w:sz w:val="28"/>
          <w:highlight w:val="none"/>
        </w:rPr>
      </w:pPr>
      <w:r>
        <w:rPr>
          <w:rFonts w:eastAsia="仿宋_GB2312"/>
          <w:sz w:val="28"/>
          <w:highlight w:val="none"/>
        </w:rPr>
        <w:t>对</w:t>
      </w:r>
      <w:r>
        <w:rPr>
          <w:rFonts w:hint="eastAsia" w:eastAsia="仿宋_GB2312"/>
          <w:sz w:val="28"/>
          <w:highlight w:val="none"/>
        </w:rPr>
        <w:t>委估</w:t>
      </w:r>
      <w:r>
        <w:rPr>
          <w:rFonts w:eastAsia="仿宋_GB2312"/>
          <w:sz w:val="28"/>
          <w:highlight w:val="none"/>
        </w:rPr>
        <w:t>设备，评估人员根据</w:t>
      </w:r>
      <w:r>
        <w:rPr>
          <w:rFonts w:hint="eastAsia" w:eastAsia="仿宋_GB2312"/>
          <w:sz w:val="28"/>
          <w:highlight w:val="none"/>
        </w:rPr>
        <w:t>资产清单</w:t>
      </w:r>
      <w:r>
        <w:rPr>
          <w:rFonts w:eastAsia="仿宋_GB2312"/>
          <w:sz w:val="28"/>
          <w:highlight w:val="none"/>
        </w:rPr>
        <w:t>进行了必要的清查核实；通过问、观、查</w:t>
      </w:r>
      <w:r>
        <w:rPr>
          <w:rFonts w:hint="eastAsia" w:eastAsia="仿宋_GB2312"/>
          <w:sz w:val="28"/>
          <w:highlight w:val="none"/>
        </w:rPr>
        <w:t>等方式</w:t>
      </w:r>
      <w:r>
        <w:rPr>
          <w:rFonts w:eastAsia="仿宋_GB2312"/>
          <w:sz w:val="28"/>
          <w:highlight w:val="none"/>
        </w:rPr>
        <w:t>，</w:t>
      </w:r>
      <w:r>
        <w:rPr>
          <w:rFonts w:hint="eastAsia" w:eastAsia="仿宋_GB2312"/>
          <w:sz w:val="28"/>
          <w:highlight w:val="none"/>
        </w:rPr>
        <w:t>了解</w:t>
      </w:r>
      <w:r>
        <w:rPr>
          <w:rFonts w:eastAsia="仿宋_GB2312"/>
          <w:sz w:val="28"/>
          <w:highlight w:val="none"/>
        </w:rPr>
        <w:t>设备的使用环境、工作负荷、维护保养等情况；并通过接触设备管理人员，</w:t>
      </w:r>
      <w:r>
        <w:rPr>
          <w:rFonts w:hint="eastAsia" w:eastAsia="仿宋_GB2312"/>
          <w:sz w:val="28"/>
          <w:highlight w:val="none"/>
        </w:rPr>
        <w:t>调查</w:t>
      </w:r>
      <w:r>
        <w:rPr>
          <w:rFonts w:eastAsia="仿宋_GB2312"/>
          <w:sz w:val="28"/>
          <w:highlight w:val="none"/>
        </w:rPr>
        <w:t>设备的管理、使用情况。对清查中发现的问题，评估人员</w:t>
      </w:r>
      <w:r>
        <w:rPr>
          <w:rFonts w:hint="eastAsia" w:eastAsia="仿宋_GB2312"/>
          <w:sz w:val="28"/>
          <w:highlight w:val="none"/>
        </w:rPr>
        <w:t>在设备清单中</w:t>
      </w:r>
      <w:r>
        <w:rPr>
          <w:rFonts w:eastAsia="仿宋_GB2312"/>
          <w:sz w:val="28"/>
          <w:highlight w:val="none"/>
        </w:rPr>
        <w:t>进行相应</w:t>
      </w:r>
      <w:r>
        <w:rPr>
          <w:rFonts w:hint="eastAsia" w:eastAsia="仿宋_GB2312"/>
          <w:sz w:val="28"/>
          <w:highlight w:val="none"/>
        </w:rPr>
        <w:t>的</w:t>
      </w:r>
      <w:r>
        <w:rPr>
          <w:rFonts w:eastAsia="仿宋_GB2312"/>
          <w:sz w:val="28"/>
          <w:highlight w:val="none"/>
        </w:rPr>
        <w:t>说明</w:t>
      </w:r>
      <w:r>
        <w:rPr>
          <w:rFonts w:ascii="Arial" w:hAnsi="Arial" w:eastAsia="仿宋_GB2312" w:cs="Arial"/>
          <w:sz w:val="28"/>
          <w:highlight w:val="none"/>
        </w:rPr>
        <w:t>。</w:t>
      </w:r>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（三）评定估算</w:t>
      </w:r>
    </w:p>
    <w:p>
      <w:pPr>
        <w:adjustRightInd w:val="0"/>
        <w:snapToGrid w:val="0"/>
        <w:spacing w:line="360" w:lineRule="auto"/>
        <w:ind w:firstLine="560" w:firstLineChars="200"/>
        <w:rPr>
          <w:rFonts w:eastAsia="仿宋_GB2312"/>
          <w:snapToGrid w:val="0"/>
          <w:sz w:val="28"/>
          <w:highlight w:val="none"/>
        </w:rPr>
      </w:pPr>
      <w:r>
        <w:rPr>
          <w:rFonts w:eastAsia="仿宋_GB2312"/>
          <w:snapToGrid w:val="0"/>
          <w:sz w:val="28"/>
          <w:highlight w:val="none"/>
        </w:rPr>
        <w:t>评估人员在进行必要的市场调查、询价的基础上，对</w:t>
      </w:r>
      <w:r>
        <w:rPr>
          <w:rFonts w:hint="eastAsia" w:eastAsia="仿宋_GB2312"/>
          <w:snapToGrid w:val="0"/>
          <w:sz w:val="28"/>
          <w:highlight w:val="none"/>
        </w:rPr>
        <w:t>委估</w:t>
      </w:r>
      <w:r>
        <w:rPr>
          <w:rFonts w:eastAsia="仿宋_GB2312"/>
          <w:snapToGrid w:val="0"/>
          <w:sz w:val="28"/>
          <w:highlight w:val="none"/>
        </w:rPr>
        <w:t>的资产选用适当的评估方法进行测算，从而确定</w:t>
      </w:r>
      <w:r>
        <w:rPr>
          <w:rFonts w:hint="eastAsia" w:eastAsia="仿宋_GB2312"/>
          <w:snapToGrid w:val="0"/>
          <w:sz w:val="28"/>
          <w:highlight w:val="none"/>
        </w:rPr>
        <w:t>委估</w:t>
      </w:r>
      <w:r>
        <w:rPr>
          <w:rFonts w:eastAsia="仿宋_GB2312"/>
          <w:snapToGrid w:val="0"/>
          <w:sz w:val="28"/>
          <w:highlight w:val="none"/>
        </w:rPr>
        <w:t>资产价值。</w:t>
      </w:r>
    </w:p>
    <w:p>
      <w:pPr>
        <w:adjustRightInd w:val="0"/>
        <w:snapToGrid w:val="0"/>
        <w:spacing w:line="360" w:lineRule="auto"/>
        <w:ind w:firstLine="560" w:firstLineChars="200"/>
        <w:rPr>
          <w:rFonts w:eastAsia="仿宋_GB2312"/>
          <w:sz w:val="28"/>
          <w:highlight w:val="none"/>
        </w:rPr>
      </w:pPr>
      <w:r>
        <w:rPr>
          <w:rFonts w:hint="eastAsia" w:eastAsia="仿宋_GB2312"/>
          <w:sz w:val="28"/>
          <w:highlight w:val="none"/>
        </w:rPr>
        <w:t>（四）</w:t>
      </w:r>
      <w:r>
        <w:rPr>
          <w:rFonts w:eastAsia="仿宋_GB2312"/>
          <w:sz w:val="28"/>
          <w:highlight w:val="none"/>
        </w:rPr>
        <w:t xml:space="preserve">评估汇总及报告   </w:t>
      </w:r>
    </w:p>
    <w:p>
      <w:pPr>
        <w:adjustRightInd w:val="0"/>
        <w:snapToGrid w:val="0"/>
        <w:spacing w:line="360" w:lineRule="auto"/>
        <w:ind w:firstLine="560" w:firstLineChars="200"/>
        <w:rPr>
          <w:rFonts w:eastAsia="仿宋_GB2312"/>
          <w:color w:val="000000" w:themeColor="text1"/>
          <w:sz w:val="28"/>
          <w:highlight w:val="none"/>
          <w14:textFill>
            <w14:solidFill>
              <w14:schemeClr w14:val="tx1"/>
            </w14:solidFill>
          </w14:textFill>
        </w:rPr>
      </w:pPr>
      <w:r>
        <w:rPr>
          <w:rFonts w:eastAsia="仿宋_GB2312"/>
          <w:sz w:val="28"/>
          <w:highlight w:val="none"/>
        </w:rPr>
        <w:t>按照《资产评估执业准则－资产评估报告》及《人民法院委托司法执行财产处置资产评估指导意见》的要求进行评估汇总、分析、撰写资产评估报告和评估说明。并按照本资产评估机构的内部质量控制制度对评估报告进行了内部审核。</w:t>
      </w:r>
    </w:p>
    <w:p>
      <w:pPr>
        <w:pStyle w:val="4"/>
        <w:ind w:left="567" w:hanging="567"/>
        <w:rPr>
          <w:rFonts w:ascii="仿宋_GB2312" w:eastAsia="仿宋_GB2312"/>
          <w:sz w:val="28"/>
          <w:szCs w:val="28"/>
          <w:highlight w:val="none"/>
        </w:rPr>
      </w:pPr>
      <w:bookmarkStart w:id="20" w:name="_Toc26826"/>
      <w:r>
        <w:rPr>
          <w:rFonts w:hint="eastAsia" w:ascii="仿宋_GB2312" w:eastAsia="仿宋_GB2312"/>
          <w:sz w:val="28"/>
          <w:szCs w:val="28"/>
          <w:highlight w:val="none"/>
        </w:rPr>
        <w:t>评估假设</w:t>
      </w:r>
      <w:bookmarkEnd w:id="20"/>
    </w:p>
    <w:p>
      <w:pPr>
        <w:tabs>
          <w:tab w:val="left" w:pos="945"/>
          <w:tab w:val="left" w:pos="1200"/>
        </w:tabs>
        <w:adjustRightInd w:val="0"/>
        <w:snapToGrid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rPr>
        <w:t>1．</w:t>
      </w:r>
      <w:r>
        <w:rPr>
          <w:rFonts w:eastAsia="仿宋_GB2312"/>
          <w:sz w:val="28"/>
          <w:szCs w:val="28"/>
          <w:highlight w:val="none"/>
        </w:rPr>
        <w:t>国家现行的有关法律法规及政策、国家宏观经济形势无重大变化，本次交易各方所处地区的政治、经济和社会环境无重大变化；</w:t>
      </w:r>
    </w:p>
    <w:p>
      <w:pPr>
        <w:tabs>
          <w:tab w:val="left" w:pos="945"/>
          <w:tab w:val="left" w:pos="1200"/>
        </w:tabs>
        <w:adjustRightInd w:val="0"/>
        <w:snapToGrid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rPr>
        <w:t>2．</w:t>
      </w:r>
      <w:r>
        <w:rPr>
          <w:rFonts w:eastAsia="仿宋_GB2312"/>
          <w:sz w:val="28"/>
          <w:szCs w:val="28"/>
          <w:highlight w:val="none"/>
        </w:rPr>
        <w:t>有关利率、汇率、赋税基准及税率、政策性征收费用等不发生重大变化；</w:t>
      </w:r>
    </w:p>
    <w:p>
      <w:pPr>
        <w:tabs>
          <w:tab w:val="left" w:pos="945"/>
          <w:tab w:val="left" w:pos="1200"/>
        </w:tabs>
        <w:adjustRightInd w:val="0"/>
        <w:snapToGrid w:val="0"/>
        <w:spacing w:line="360" w:lineRule="auto"/>
        <w:ind w:firstLine="560" w:firstLineChars="200"/>
        <w:textAlignment w:val="bottom"/>
        <w:rPr>
          <w:rFonts w:eastAsia="仿宋_GB2312"/>
          <w:sz w:val="28"/>
          <w:szCs w:val="28"/>
          <w:highlight w:val="none"/>
        </w:rPr>
      </w:pPr>
      <w:bookmarkStart w:id="21" w:name="_Hlk79487377"/>
      <w:r>
        <w:rPr>
          <w:rFonts w:hint="eastAsia" w:eastAsia="仿宋_GB2312"/>
          <w:sz w:val="28"/>
          <w:szCs w:val="28"/>
          <w:highlight w:val="none"/>
          <w:lang w:val="en-US" w:eastAsia="zh-CN"/>
        </w:rPr>
        <w:t>3</w:t>
      </w:r>
      <w:r>
        <w:rPr>
          <w:rFonts w:hint="eastAsia" w:eastAsia="仿宋_GB2312"/>
          <w:sz w:val="28"/>
          <w:szCs w:val="28"/>
          <w:highlight w:val="none"/>
        </w:rPr>
        <w:t>．</w:t>
      </w:r>
      <w:r>
        <w:rPr>
          <w:rFonts w:eastAsia="仿宋_GB2312"/>
          <w:sz w:val="28"/>
          <w:szCs w:val="28"/>
          <w:highlight w:val="none"/>
        </w:rPr>
        <w:t>无其他人力不可抗拒因素及不可预见因素对委估资产造成重大不利影响。</w:t>
      </w:r>
    </w:p>
    <w:bookmarkEnd w:id="21"/>
    <w:p>
      <w:pPr>
        <w:tabs>
          <w:tab w:val="left" w:pos="945"/>
        </w:tabs>
        <w:adjustRightInd w:val="0"/>
        <w:snapToGrid w:val="0"/>
        <w:spacing w:line="360" w:lineRule="auto"/>
        <w:ind w:firstLine="560" w:firstLineChars="200"/>
        <w:rPr>
          <w:rFonts w:eastAsia="仿宋_GB2312"/>
          <w:b/>
          <w:sz w:val="30"/>
          <w:highlight w:val="none"/>
        </w:rPr>
      </w:pPr>
      <w:r>
        <w:rPr>
          <w:rFonts w:hint="eastAsia" w:eastAsia="仿宋_GB2312"/>
          <w:sz w:val="28"/>
          <w:szCs w:val="28"/>
          <w:highlight w:val="none"/>
        </w:rPr>
        <w:t>若将来实际情况与上述评估假设产生差异，将会对本评估报告的评估结论产生影响。委托人和其他评估报告使用人应在使用本评估报告时充分考虑评估假设可能对评估结论产生的影响。</w:t>
      </w:r>
    </w:p>
    <w:p>
      <w:pPr>
        <w:pStyle w:val="4"/>
        <w:ind w:left="567" w:hanging="567"/>
        <w:rPr>
          <w:rFonts w:ascii="仿宋_GB2312" w:eastAsia="仿宋_GB2312"/>
          <w:sz w:val="28"/>
          <w:szCs w:val="28"/>
          <w:highlight w:val="none"/>
        </w:rPr>
      </w:pPr>
      <w:bookmarkStart w:id="22" w:name="_Toc21341"/>
      <w:r>
        <w:rPr>
          <w:rFonts w:ascii="仿宋_GB2312" w:eastAsia="仿宋_GB2312"/>
          <w:sz w:val="28"/>
          <w:szCs w:val="28"/>
          <w:highlight w:val="none"/>
        </w:rPr>
        <w:t>评估结论</w:t>
      </w:r>
      <w:bookmarkEnd w:id="22"/>
    </w:p>
    <w:p>
      <w:pPr>
        <w:snapToGrid w:val="0"/>
        <w:spacing w:line="360" w:lineRule="auto"/>
        <w:ind w:firstLine="560" w:firstLineChars="200"/>
        <w:rPr>
          <w:rFonts w:eastAsia="仿宋_GB2312"/>
          <w:sz w:val="28"/>
          <w:highlight w:val="none"/>
        </w:rPr>
      </w:pPr>
      <w:r>
        <w:rPr>
          <w:rFonts w:hint="eastAsia" w:eastAsia="仿宋"/>
          <w:kern w:val="0"/>
          <w:sz w:val="28"/>
          <w:szCs w:val="28"/>
          <w:highlight w:val="none"/>
        </w:rPr>
        <w:t>在评估基准日</w:t>
      </w:r>
      <w:r>
        <w:rPr>
          <w:rFonts w:hint="eastAsia" w:eastAsia="仿宋"/>
          <w:kern w:val="0"/>
          <w:sz w:val="28"/>
          <w:szCs w:val="28"/>
          <w:highlight w:val="none"/>
          <w:lang w:eastAsia="zh-CN"/>
        </w:rPr>
        <w:t>2023年3月28日</w:t>
      </w:r>
      <w:r>
        <w:rPr>
          <w:rFonts w:hint="eastAsia" w:eastAsia="仿宋"/>
          <w:kern w:val="0"/>
          <w:sz w:val="28"/>
          <w:szCs w:val="28"/>
          <w:highlight w:val="none"/>
        </w:rPr>
        <w:t>，经成本法评估，</w:t>
      </w:r>
      <w:r>
        <w:rPr>
          <w:rFonts w:hint="eastAsia" w:eastAsia="仿宋"/>
          <w:sz w:val="28"/>
          <w:highlight w:val="none"/>
          <w:lang w:val="en-US" w:eastAsia="zh-CN"/>
        </w:rPr>
        <w:t>本次委</w:t>
      </w:r>
      <w:r>
        <w:rPr>
          <w:rFonts w:eastAsia="仿宋"/>
          <w:sz w:val="28"/>
          <w:highlight w:val="none"/>
        </w:rPr>
        <w:t>估</w:t>
      </w:r>
      <w:r>
        <w:rPr>
          <w:rFonts w:hint="eastAsia" w:eastAsia="仿宋"/>
          <w:sz w:val="28"/>
          <w:highlight w:val="none"/>
          <w:lang w:val="en-US" w:eastAsia="zh-CN"/>
        </w:rPr>
        <w:t>的</w:t>
      </w:r>
      <w:r>
        <w:rPr>
          <w:rFonts w:hint="eastAsia" w:eastAsia="仿宋_GB2312"/>
          <w:sz w:val="28"/>
          <w:highlight w:val="none"/>
          <w:lang w:eastAsia="zh-CN"/>
        </w:rPr>
        <w:t>宁夏宏兴天然气股份有限公司</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相关资产</w:t>
      </w:r>
      <w:r>
        <w:rPr>
          <w:rFonts w:eastAsia="仿宋"/>
          <w:sz w:val="28"/>
          <w:highlight w:val="none"/>
        </w:rPr>
        <w:t>评估值为</w:t>
      </w:r>
      <w:r>
        <w:rPr>
          <w:rFonts w:hint="eastAsia" w:eastAsia="仿宋"/>
          <w:sz w:val="28"/>
          <w:highlight w:val="none"/>
          <w:lang w:val="en-US" w:eastAsia="zh-CN"/>
        </w:rPr>
        <w:t>314.03万</w:t>
      </w:r>
      <w:r>
        <w:rPr>
          <w:rFonts w:eastAsia="仿宋"/>
          <w:sz w:val="28"/>
          <w:highlight w:val="none"/>
        </w:rPr>
        <w:t>元。</w:t>
      </w:r>
    </w:p>
    <w:p>
      <w:pPr>
        <w:pStyle w:val="4"/>
        <w:ind w:left="567" w:hanging="567"/>
        <w:rPr>
          <w:rFonts w:ascii="仿宋_GB2312" w:eastAsia="仿宋_GB2312"/>
          <w:sz w:val="28"/>
          <w:szCs w:val="28"/>
          <w:highlight w:val="none"/>
        </w:rPr>
      </w:pPr>
      <w:bookmarkStart w:id="23" w:name="_Toc21441"/>
      <w:r>
        <w:rPr>
          <w:rFonts w:ascii="仿宋_GB2312" w:eastAsia="仿宋_GB2312"/>
          <w:sz w:val="28"/>
          <w:szCs w:val="28"/>
          <w:highlight w:val="none"/>
        </w:rPr>
        <w:t>特别事项说明</w:t>
      </w:r>
      <w:bookmarkEnd w:id="23"/>
    </w:p>
    <w:p>
      <w:pPr>
        <w:pStyle w:val="20"/>
        <w:ind w:firstLine="560" w:firstLineChars="200"/>
        <w:rPr>
          <w:rFonts w:hAnsi="宋体"/>
          <w:szCs w:val="28"/>
          <w:highlight w:val="none"/>
        </w:rPr>
      </w:pPr>
      <w:r>
        <w:rPr>
          <w:rFonts w:hint="eastAsia" w:hAnsi="宋体"/>
          <w:szCs w:val="28"/>
          <w:highlight w:val="none"/>
        </w:rPr>
        <w:t>评估报告使用人在使用本评估报告时，应关注以下特别事项对评估结论，以及本报告所服务经济行为的决策、实施可能产生的影响：</w:t>
      </w:r>
    </w:p>
    <w:p>
      <w:pPr>
        <w:numPr>
          <w:ilvl w:val="0"/>
          <w:numId w:val="7"/>
        </w:numPr>
        <w:snapToGrid w:val="0"/>
        <w:spacing w:line="360" w:lineRule="auto"/>
        <w:ind w:left="0" w:leftChars="0" w:firstLine="560" w:firstLineChars="200"/>
        <w:rPr>
          <w:rFonts w:hint="eastAsia" w:eastAsia="仿宋_GB2312"/>
          <w:bCs/>
          <w:sz w:val="28"/>
          <w:szCs w:val="24"/>
          <w:highlight w:val="none"/>
          <w:lang w:val="en-US" w:eastAsia="zh-CN"/>
        </w:rPr>
      </w:pPr>
      <w:r>
        <w:rPr>
          <w:rFonts w:hint="eastAsia" w:eastAsia="仿宋_GB2312"/>
          <w:bCs/>
          <w:sz w:val="28"/>
          <w:szCs w:val="24"/>
          <w:highlight w:val="none"/>
          <w:lang w:val="en-US" w:eastAsia="zh-CN"/>
        </w:rPr>
        <w:t>本次评估结果是基于永宁县人民法院、宁夏宏兴石油有限责任公司银汝加油站提供的现有资料和评估人员现场查看、核实记录的相关信息进行客观分析测算形成。</w:t>
      </w:r>
    </w:p>
    <w:p>
      <w:pPr>
        <w:numPr>
          <w:ilvl w:val="0"/>
          <w:numId w:val="7"/>
        </w:numPr>
        <w:snapToGrid w:val="0"/>
        <w:spacing w:line="360" w:lineRule="auto"/>
        <w:ind w:left="0" w:leftChars="0" w:firstLine="560" w:firstLineChars="200"/>
        <w:rPr>
          <w:rFonts w:hint="eastAsia" w:eastAsia="仿宋_GB2312"/>
          <w:bCs/>
          <w:sz w:val="28"/>
          <w:szCs w:val="24"/>
          <w:highlight w:val="none"/>
          <w:lang w:val="en-US" w:eastAsia="zh-CN"/>
        </w:rPr>
      </w:pPr>
      <w:r>
        <w:rPr>
          <w:rFonts w:hint="eastAsia" w:eastAsia="仿宋_GB2312"/>
          <w:bCs/>
          <w:sz w:val="28"/>
          <w:szCs w:val="24"/>
          <w:highlight w:val="none"/>
          <w:lang w:val="en-US" w:eastAsia="zh-CN"/>
        </w:rPr>
        <w:t>本次评估范围是在主办法官和评估人员共同核查并对</w:t>
      </w:r>
      <w:r>
        <w:rPr>
          <w:rFonts w:hint="eastAsia" w:eastAsia="仿宋_GB2312"/>
          <w:sz w:val="28"/>
          <w:highlight w:val="none"/>
          <w:lang w:eastAsia="zh-CN"/>
        </w:rPr>
        <w:t>宁夏宏兴天然气股份有限公司</w:t>
      </w:r>
      <w:r>
        <w:rPr>
          <w:rFonts w:hint="eastAsia" w:eastAsia="仿宋_GB2312"/>
          <w:bCs/>
          <w:sz w:val="28"/>
          <w:szCs w:val="24"/>
          <w:highlight w:val="none"/>
          <w:lang w:val="en-US" w:eastAsia="zh-CN"/>
        </w:rPr>
        <w:t>提供的现有资料进行分析基础上确定，以此作为评估测算的依据。</w:t>
      </w:r>
    </w:p>
    <w:p>
      <w:pPr>
        <w:numPr>
          <w:ilvl w:val="0"/>
          <w:numId w:val="7"/>
        </w:numPr>
        <w:snapToGrid w:val="0"/>
        <w:spacing w:line="360" w:lineRule="auto"/>
        <w:ind w:left="0" w:leftChars="0" w:firstLine="560" w:firstLineChars="200"/>
        <w:rPr>
          <w:rFonts w:hint="eastAsia" w:eastAsia="仿宋_GB2312"/>
          <w:bCs/>
          <w:sz w:val="28"/>
          <w:szCs w:val="24"/>
          <w:highlight w:val="none"/>
          <w:lang w:val="en-US" w:eastAsia="zh-CN"/>
        </w:rPr>
      </w:pPr>
      <w:r>
        <w:rPr>
          <w:rFonts w:hint="eastAsia" w:eastAsia="仿宋_GB2312"/>
          <w:bCs/>
          <w:sz w:val="28"/>
          <w:szCs w:val="24"/>
          <w:highlight w:val="none"/>
          <w:lang w:val="en-US" w:eastAsia="zh-CN"/>
        </w:rPr>
        <w:t>在</w:t>
      </w:r>
      <w:r>
        <w:rPr>
          <w:rFonts w:hint="eastAsia" w:eastAsia="仿宋_GB2312"/>
          <w:bCs/>
          <w:sz w:val="28"/>
          <w:szCs w:val="24"/>
          <w:highlight w:val="none"/>
          <w:lang w:eastAsia="zh-CN"/>
        </w:rPr>
        <w:t>本次</w:t>
      </w:r>
      <w:r>
        <w:rPr>
          <w:rFonts w:hint="eastAsia" w:eastAsia="仿宋_GB2312"/>
          <w:bCs/>
          <w:sz w:val="28"/>
          <w:szCs w:val="24"/>
          <w:highlight w:val="none"/>
          <w:lang w:val="en-US" w:eastAsia="zh-CN"/>
        </w:rPr>
        <w:t>评估过程中</w:t>
      </w:r>
      <w:r>
        <w:rPr>
          <w:rFonts w:hint="eastAsia" w:eastAsia="仿宋_GB2312"/>
          <w:bCs/>
          <w:sz w:val="28"/>
          <w:szCs w:val="24"/>
          <w:highlight w:val="none"/>
          <w:lang w:eastAsia="zh-CN"/>
        </w:rPr>
        <w:t>，因受客观条件及测量手段限制，</w:t>
      </w:r>
      <w:r>
        <w:rPr>
          <w:rFonts w:hint="eastAsia" w:eastAsia="仿宋_GB2312"/>
          <w:bCs/>
          <w:sz w:val="28"/>
          <w:szCs w:val="24"/>
          <w:highlight w:val="none"/>
          <w:lang w:val="en-US" w:eastAsia="zh-CN"/>
        </w:rPr>
        <w:t>且</w:t>
      </w:r>
      <w:r>
        <w:rPr>
          <w:rFonts w:hint="eastAsia" w:eastAsia="仿宋_GB2312"/>
          <w:bCs/>
          <w:sz w:val="28"/>
          <w:szCs w:val="24"/>
          <w:highlight w:val="none"/>
          <w:lang w:eastAsia="zh-CN"/>
        </w:rPr>
        <w:t>永宁县人民法</w:t>
      </w:r>
      <w:r>
        <w:rPr>
          <w:rFonts w:hint="eastAsia" w:eastAsia="仿宋_GB2312"/>
          <w:bCs/>
          <w:sz w:val="28"/>
          <w:szCs w:val="24"/>
          <w:highlight w:val="none"/>
          <w:lang w:val="en-US" w:eastAsia="zh-CN"/>
        </w:rPr>
        <w:t>院及相关当事人未提供齐全的隐蔽工程施工资料，对隐蔽工程是在</w:t>
      </w:r>
      <w:r>
        <w:rPr>
          <w:rFonts w:hint="eastAsia" w:eastAsia="仿宋_GB2312"/>
          <w:sz w:val="28"/>
          <w:highlight w:val="none"/>
          <w:lang w:eastAsia="zh-CN"/>
        </w:rPr>
        <w:t>宁夏宏兴天然气股份有限公司</w:t>
      </w:r>
      <w:r>
        <w:rPr>
          <w:rFonts w:hint="eastAsia" w:eastAsia="仿宋_GB2312"/>
          <w:bCs/>
          <w:sz w:val="28"/>
          <w:szCs w:val="24"/>
          <w:highlight w:val="none"/>
          <w:lang w:val="en-US" w:eastAsia="zh-CN"/>
        </w:rPr>
        <w:t>申报基础上，结合现场勘察的实际情况进行核实判断，其相关数据已经永宁县人民法院确认。</w:t>
      </w:r>
    </w:p>
    <w:p>
      <w:pPr>
        <w:numPr>
          <w:ilvl w:val="0"/>
          <w:numId w:val="7"/>
        </w:numPr>
        <w:snapToGrid w:val="0"/>
        <w:spacing w:line="360" w:lineRule="auto"/>
        <w:ind w:left="0" w:leftChars="0" w:firstLine="560" w:firstLineChars="200"/>
        <w:rPr>
          <w:rFonts w:hint="eastAsia" w:eastAsia="仿宋_GB2312"/>
          <w:bCs/>
          <w:sz w:val="28"/>
          <w:szCs w:val="24"/>
          <w:highlight w:val="none"/>
          <w:lang w:eastAsia="zh-CN"/>
        </w:rPr>
      </w:pPr>
      <w:r>
        <w:rPr>
          <w:rFonts w:hint="eastAsia" w:eastAsia="仿宋_GB2312"/>
          <w:bCs/>
          <w:sz w:val="28"/>
          <w:szCs w:val="24"/>
          <w:highlight w:val="none"/>
          <w:lang w:eastAsia="zh-CN"/>
        </w:rPr>
        <w:t>本次评估未考虑资产处置过程中所发生的各项税费、拍卖费、诉讼费等费用对评估结论的影响。</w:t>
      </w:r>
    </w:p>
    <w:p>
      <w:pPr>
        <w:numPr>
          <w:ilvl w:val="0"/>
          <w:numId w:val="7"/>
        </w:numPr>
        <w:snapToGrid w:val="0"/>
        <w:spacing w:line="360" w:lineRule="auto"/>
        <w:ind w:left="0" w:leftChars="0" w:firstLine="560" w:firstLineChars="200"/>
        <w:rPr>
          <w:rFonts w:hint="eastAsia" w:eastAsia="仿宋_GB2312"/>
          <w:bCs/>
          <w:sz w:val="28"/>
          <w:szCs w:val="24"/>
          <w:highlight w:val="none"/>
          <w:lang w:eastAsia="zh-CN"/>
        </w:rPr>
      </w:pPr>
      <w:r>
        <w:rPr>
          <w:rFonts w:hint="eastAsia" w:eastAsia="仿宋_GB2312"/>
          <w:bCs/>
          <w:sz w:val="28"/>
          <w:szCs w:val="24"/>
          <w:highlight w:val="none"/>
          <w:lang w:eastAsia="zh-CN"/>
        </w:rPr>
        <w:t>本报告未考虑委估资产强制处分、快速变现等因素对评估结论的影响。</w:t>
      </w:r>
    </w:p>
    <w:p>
      <w:pPr>
        <w:numPr>
          <w:ilvl w:val="0"/>
          <w:numId w:val="7"/>
        </w:numPr>
        <w:snapToGrid w:val="0"/>
        <w:spacing w:line="360" w:lineRule="auto"/>
        <w:ind w:left="0" w:leftChars="0" w:firstLine="560" w:firstLineChars="200"/>
        <w:rPr>
          <w:rFonts w:eastAsia="仿宋_GB2312"/>
          <w:bCs/>
          <w:sz w:val="28"/>
          <w:highlight w:val="none"/>
        </w:rPr>
      </w:pPr>
      <w:r>
        <w:rPr>
          <w:rFonts w:hint="eastAsia" w:eastAsia="仿宋_GB2312"/>
          <w:bCs/>
          <w:sz w:val="28"/>
          <w:szCs w:val="24"/>
          <w:highlight w:val="none"/>
          <w:lang w:eastAsia="zh-CN"/>
        </w:rPr>
        <w:t>本次委估资产评估结果含增值税。</w:t>
      </w:r>
    </w:p>
    <w:p>
      <w:pPr>
        <w:pStyle w:val="4"/>
        <w:tabs>
          <w:tab w:val="left" w:pos="851"/>
          <w:tab w:val="left" w:pos="1134"/>
        </w:tabs>
        <w:ind w:left="567" w:hanging="567"/>
        <w:rPr>
          <w:rFonts w:ascii="仿宋_GB2312" w:eastAsia="仿宋_GB2312"/>
          <w:sz w:val="28"/>
          <w:szCs w:val="28"/>
          <w:highlight w:val="none"/>
        </w:rPr>
      </w:pPr>
      <w:bookmarkStart w:id="24" w:name="_Toc7278"/>
      <w:r>
        <w:rPr>
          <w:rFonts w:ascii="仿宋_GB2312" w:eastAsia="仿宋_GB2312"/>
          <w:sz w:val="28"/>
          <w:szCs w:val="28"/>
          <w:highlight w:val="none"/>
        </w:rPr>
        <w:t>评估报告</w:t>
      </w:r>
      <w:r>
        <w:rPr>
          <w:rFonts w:hint="eastAsia" w:ascii="仿宋_GB2312" w:eastAsia="仿宋_GB2312"/>
          <w:sz w:val="28"/>
          <w:szCs w:val="28"/>
          <w:highlight w:val="none"/>
        </w:rPr>
        <w:t>使用限制说明</w:t>
      </w:r>
      <w:bookmarkEnd w:id="24"/>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本评估报告只能用于评估报告载明的评估目的和用途。</w:t>
      </w:r>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委托人或者其他资产评估报告使用人未按照法律、行政法规规定和资产评估报告载明的使用范围使用资产评估报告的，资产评估机构及其资产评估专业人员不承担责任。</w:t>
      </w:r>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除委托人和法律、行政法规规定的资产评估报告使用人之外，其他任何机构和个人不能成为资产评估报告的使用人。</w:t>
      </w:r>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资产评估报告使用人应当正确理解和使用评估结论。评估结论不等同于评估对象可实现价格，评估结论不应当被认为是对评估对象可实现价格的保证。</w:t>
      </w:r>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本评估报告的全部或部分内容被摘抄、引用或者披露于公开媒体，需经本</w:t>
      </w:r>
      <w:r>
        <w:rPr>
          <w:rFonts w:hint="eastAsia" w:ascii="Times New Roman"/>
          <w:szCs w:val="28"/>
          <w:highlight w:val="none"/>
        </w:rPr>
        <w:t>资产</w:t>
      </w:r>
      <w:r>
        <w:rPr>
          <w:rFonts w:ascii="Times New Roman"/>
          <w:szCs w:val="28"/>
          <w:highlight w:val="none"/>
        </w:rPr>
        <w:t>评估机构审阅相关内容，法律、行政法规规定以及相关当事人另有约定的除外。</w:t>
      </w:r>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评估结论的使用有效期自评估基准日起一年，即超过202</w:t>
      </w:r>
      <w:r>
        <w:rPr>
          <w:rFonts w:hint="eastAsia" w:ascii="Times New Roman"/>
          <w:szCs w:val="28"/>
          <w:highlight w:val="none"/>
          <w:lang w:val="en-US" w:eastAsia="zh-CN"/>
        </w:rPr>
        <w:t>4</w:t>
      </w:r>
      <w:r>
        <w:rPr>
          <w:rFonts w:ascii="Times New Roman"/>
          <w:szCs w:val="28"/>
          <w:highlight w:val="none"/>
        </w:rPr>
        <w:t>年</w:t>
      </w:r>
      <w:r>
        <w:rPr>
          <w:rFonts w:hint="eastAsia" w:ascii="Times New Roman"/>
          <w:szCs w:val="28"/>
          <w:highlight w:val="none"/>
          <w:lang w:val="en-US" w:eastAsia="zh-CN"/>
        </w:rPr>
        <w:t>3</w:t>
      </w:r>
      <w:r>
        <w:rPr>
          <w:rFonts w:ascii="Times New Roman"/>
          <w:szCs w:val="28"/>
          <w:highlight w:val="none"/>
        </w:rPr>
        <w:t>月</w:t>
      </w:r>
      <w:r>
        <w:rPr>
          <w:rFonts w:hint="eastAsia" w:ascii="Times New Roman"/>
          <w:szCs w:val="28"/>
          <w:highlight w:val="none"/>
          <w:lang w:val="en-US" w:eastAsia="zh-CN"/>
        </w:rPr>
        <w:t>27</w:t>
      </w:r>
      <w:r>
        <w:rPr>
          <w:rFonts w:ascii="Times New Roman"/>
          <w:szCs w:val="28"/>
          <w:highlight w:val="none"/>
        </w:rPr>
        <w:t>日使用本评估报告的评估结论无效。</w:t>
      </w:r>
    </w:p>
    <w:p>
      <w:pPr>
        <w:pStyle w:val="20"/>
        <w:numPr>
          <w:ilvl w:val="0"/>
          <w:numId w:val="8"/>
        </w:numPr>
        <w:tabs>
          <w:tab w:val="left" w:pos="993"/>
        </w:tabs>
        <w:ind w:left="0" w:firstLine="560" w:firstLineChars="200"/>
        <w:rPr>
          <w:rFonts w:ascii="Times New Roman"/>
          <w:szCs w:val="28"/>
          <w:highlight w:val="none"/>
        </w:rPr>
      </w:pPr>
      <w:r>
        <w:rPr>
          <w:rFonts w:ascii="Times New Roman"/>
          <w:szCs w:val="28"/>
          <w:highlight w:val="none"/>
        </w:rPr>
        <w:t>本评估报告必须完整使用方为有效，对仅使用报告中部分内容所导致的可能的损失，本资产评估机构不承担责任。</w:t>
      </w:r>
    </w:p>
    <w:p>
      <w:pPr>
        <w:pStyle w:val="4"/>
        <w:ind w:hanging="850"/>
        <w:rPr>
          <w:rFonts w:ascii="仿宋_GB2312" w:eastAsia="仿宋_GB2312"/>
          <w:sz w:val="28"/>
          <w:szCs w:val="28"/>
          <w:highlight w:val="none"/>
        </w:rPr>
      </w:pPr>
      <w:bookmarkStart w:id="25" w:name="_Toc1609"/>
      <w:r>
        <w:rPr>
          <w:rFonts w:ascii="仿宋_GB2312" w:eastAsia="仿宋_GB2312"/>
          <w:sz w:val="28"/>
          <w:szCs w:val="28"/>
          <w:highlight w:val="none"/>
        </w:rPr>
        <w:t>评估报告日</w:t>
      </w:r>
      <w:bookmarkEnd w:id="25"/>
    </w:p>
    <w:p>
      <w:pPr>
        <w:snapToGrid w:val="0"/>
        <w:spacing w:line="360" w:lineRule="auto"/>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本评估报告</w:t>
      </w:r>
      <w:r>
        <w:rPr>
          <w:rFonts w:hint="eastAsia" w:eastAsia="仿宋_GB2312"/>
          <w:color w:val="000000" w:themeColor="text1"/>
          <w:sz w:val="28"/>
          <w:szCs w:val="28"/>
          <w:highlight w:val="none"/>
          <w14:textFill>
            <w14:solidFill>
              <w14:schemeClr w14:val="tx1"/>
            </w14:solidFill>
          </w14:textFill>
        </w:rPr>
        <w:t>的资产评估报告日</w:t>
      </w:r>
      <w:r>
        <w:rPr>
          <w:rFonts w:eastAsia="仿宋_GB2312"/>
          <w:color w:val="000000" w:themeColor="text1"/>
          <w:sz w:val="28"/>
          <w:szCs w:val="28"/>
          <w:highlight w:val="none"/>
          <w14:textFill>
            <w14:solidFill>
              <w14:schemeClr w14:val="tx1"/>
            </w14:solidFill>
          </w14:textFill>
        </w:rPr>
        <w:t>：202</w:t>
      </w:r>
      <w:r>
        <w:rPr>
          <w:rFonts w:hint="eastAsia" w:eastAsia="仿宋_GB2312"/>
          <w:color w:val="000000" w:themeColor="text1"/>
          <w:sz w:val="28"/>
          <w:szCs w:val="28"/>
          <w:highlight w:val="none"/>
          <w:lang w:val="en-US" w:eastAsia="zh-CN"/>
          <w14:textFill>
            <w14:solidFill>
              <w14:schemeClr w14:val="tx1"/>
            </w14:solidFill>
          </w14:textFill>
        </w:rPr>
        <w:t>3</w:t>
      </w:r>
      <w:r>
        <w:rPr>
          <w:rFonts w:hint="eastAsia" w:eastAsia="仿宋_GB2312"/>
          <w:color w:val="000000" w:themeColor="text1"/>
          <w:sz w:val="28"/>
          <w:szCs w:val="28"/>
          <w:highlight w:val="none"/>
          <w14:textFill>
            <w14:solidFill>
              <w14:schemeClr w14:val="tx1"/>
            </w14:solidFill>
          </w14:textFill>
        </w:rPr>
        <w:t>年</w:t>
      </w:r>
      <w:r>
        <w:rPr>
          <w:rFonts w:hint="eastAsia" w:eastAsia="仿宋_GB2312"/>
          <w:color w:val="000000" w:themeColor="text1"/>
          <w:sz w:val="28"/>
          <w:szCs w:val="28"/>
          <w:highlight w:val="none"/>
          <w:lang w:val="en-US" w:eastAsia="zh-CN"/>
          <w14:textFill>
            <w14:solidFill>
              <w14:schemeClr w14:val="tx1"/>
            </w14:solidFill>
          </w14:textFill>
        </w:rPr>
        <w:t>6</w:t>
      </w:r>
      <w:r>
        <w:rPr>
          <w:rFonts w:hint="eastAsia" w:eastAsia="仿宋_GB2312"/>
          <w:color w:val="000000" w:themeColor="text1"/>
          <w:sz w:val="28"/>
          <w:szCs w:val="28"/>
          <w:highlight w:val="none"/>
          <w14:textFill>
            <w14:solidFill>
              <w14:schemeClr w14:val="tx1"/>
            </w14:solidFill>
          </w14:textFill>
        </w:rPr>
        <w:t>月</w:t>
      </w:r>
      <w:r>
        <w:rPr>
          <w:rFonts w:hint="eastAsia" w:eastAsia="仿宋_GB2312"/>
          <w:color w:val="000000" w:themeColor="text1"/>
          <w:sz w:val="28"/>
          <w:szCs w:val="28"/>
          <w:highlight w:val="none"/>
          <w:lang w:val="en-US" w:eastAsia="zh-CN"/>
          <w14:textFill>
            <w14:solidFill>
              <w14:schemeClr w14:val="tx1"/>
            </w14:solidFill>
          </w14:textFill>
        </w:rPr>
        <w:t>19</w:t>
      </w:r>
      <w:r>
        <w:rPr>
          <w:rFonts w:hint="eastAsia" w:eastAsia="仿宋_GB2312"/>
          <w:color w:val="000000" w:themeColor="text1"/>
          <w:sz w:val="28"/>
          <w:szCs w:val="28"/>
          <w:highlight w:val="none"/>
          <w14:textFill>
            <w14:solidFill>
              <w14:schemeClr w14:val="tx1"/>
            </w14:solidFill>
          </w14:textFill>
        </w:rPr>
        <w:t>日</w:t>
      </w:r>
      <w:r>
        <w:rPr>
          <w:rFonts w:eastAsia="仿宋_GB2312"/>
          <w:color w:val="000000" w:themeColor="text1"/>
          <w:sz w:val="28"/>
          <w:szCs w:val="28"/>
          <w:highlight w:val="none"/>
          <w14:textFill>
            <w14:solidFill>
              <w14:schemeClr w14:val="tx1"/>
            </w14:solidFill>
          </w14:textFill>
        </w:rPr>
        <w:t>。</w:t>
      </w:r>
    </w:p>
    <w:p>
      <w:pPr>
        <w:spacing w:before="240" w:beforeLines="100" w:after="240" w:afterLines="100"/>
        <w:jc w:val="left"/>
        <w:rPr>
          <w:rFonts w:eastAsia="仿宋_GB2312"/>
          <w:color w:val="000000" w:themeColor="text1"/>
          <w:sz w:val="28"/>
          <w:highlight w:val="none"/>
          <w14:textFill>
            <w14:solidFill>
              <w14:schemeClr w14:val="tx1"/>
            </w14:solidFill>
          </w14:textFill>
        </w:rPr>
      </w:pPr>
      <w:r>
        <w:rPr>
          <w:rFonts w:eastAsia="仿宋_GB2312"/>
          <w:sz w:val="28"/>
          <w:highlight w:val="none"/>
        </w:rPr>
        <w:br w:type="page"/>
      </w:r>
      <w:r>
        <w:rPr>
          <w:rFonts w:eastAsia="仿宋_GB2312"/>
          <w:color w:val="000000" w:themeColor="text1"/>
          <w:sz w:val="28"/>
          <w:highlight w:val="none"/>
          <w14:textFill>
            <w14:solidFill>
              <w14:schemeClr w14:val="tx1"/>
            </w14:solidFill>
          </w14:textFill>
        </w:rPr>
        <w:t>（本页无正文）</w:t>
      </w:r>
    </w:p>
    <w:p>
      <w:pPr>
        <w:spacing w:before="60" w:after="60" w:line="312" w:lineRule="auto"/>
        <w:rPr>
          <w:rFonts w:eastAsia="仿宋_GB2312"/>
          <w:color w:val="000000" w:themeColor="text1"/>
          <w:sz w:val="28"/>
          <w:highlight w:val="none"/>
          <w14:textFill>
            <w14:solidFill>
              <w14:schemeClr w14:val="tx1"/>
            </w14:solidFill>
          </w14:textFill>
        </w:rPr>
      </w:pPr>
    </w:p>
    <w:p>
      <w:pPr>
        <w:spacing w:before="120" w:after="120" w:line="312" w:lineRule="auto"/>
        <w:rPr>
          <w:rFonts w:eastAsia="仿宋_GB2312"/>
          <w:color w:val="000000" w:themeColor="text1"/>
          <w:sz w:val="28"/>
          <w:highlight w:val="none"/>
          <w14:textFill>
            <w14:solidFill>
              <w14:schemeClr w14:val="tx1"/>
            </w14:solidFill>
          </w14:textFill>
        </w:rPr>
      </w:pPr>
    </w:p>
    <w:p>
      <w:pPr>
        <w:tabs>
          <w:tab w:val="left" w:pos="4140"/>
        </w:tabs>
        <w:spacing w:before="120" w:after="120" w:line="312" w:lineRule="auto"/>
        <w:ind w:left="359" w:leftChars="171"/>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ab/>
      </w:r>
    </w:p>
    <w:p>
      <w:pPr>
        <w:tabs>
          <w:tab w:val="left" w:pos="4140"/>
        </w:tabs>
        <w:spacing w:before="120" w:after="120" w:line="312" w:lineRule="auto"/>
        <w:ind w:left="359" w:leftChars="171"/>
        <w:rPr>
          <w:rFonts w:eastAsia="仿宋_GB2312"/>
          <w:color w:val="000000" w:themeColor="text1"/>
          <w:sz w:val="28"/>
          <w:highlight w:val="none"/>
          <w14:textFill>
            <w14:solidFill>
              <w14:schemeClr w14:val="tx1"/>
            </w14:solidFill>
          </w14:textFill>
        </w:rPr>
      </w:pPr>
      <w:r>
        <w:rPr>
          <w:rFonts w:eastAsia="仿宋_GB2312"/>
          <w:color w:val="000000" w:themeColor="text1"/>
          <w:sz w:val="28"/>
          <w:highlight w:val="none"/>
          <w14:textFill>
            <w14:solidFill>
              <w14:schemeClr w14:val="tx1"/>
            </w14:solidFill>
          </w14:textFill>
        </w:rPr>
        <w:t>中和资产评估有限公司</w:t>
      </w:r>
    </w:p>
    <w:p>
      <w:pPr>
        <w:tabs>
          <w:tab w:val="left" w:pos="4140"/>
        </w:tabs>
        <w:spacing w:line="312" w:lineRule="auto"/>
        <w:ind w:left="359" w:leftChars="171"/>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ab/>
      </w:r>
      <w:r>
        <w:rPr>
          <w:rFonts w:eastAsia="仿宋_GB2312"/>
          <w:color w:val="000000" w:themeColor="text1"/>
          <w:sz w:val="28"/>
          <w:highlight w:val="none"/>
          <w14:textFill>
            <w14:solidFill>
              <w14:schemeClr w14:val="tx1"/>
            </w14:solidFill>
          </w14:textFill>
        </w:rPr>
        <w:t>资产评估师</w:t>
      </w:r>
      <w:r>
        <w:rPr>
          <w:rFonts w:hint="eastAsia" w:eastAsia="仿宋_GB2312"/>
          <w:color w:val="000000" w:themeColor="text1"/>
          <w:sz w:val="28"/>
          <w:highlight w:val="none"/>
          <w14:textFill>
            <w14:solidFill>
              <w14:schemeClr w14:val="tx1"/>
            </w14:solidFill>
          </w14:textFill>
        </w:rPr>
        <w:t>：</w:t>
      </w:r>
    </w:p>
    <w:p>
      <w:pPr>
        <w:tabs>
          <w:tab w:val="left" w:pos="4140"/>
        </w:tabs>
        <w:spacing w:line="312" w:lineRule="auto"/>
        <w:ind w:left="359" w:leftChars="171"/>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ab/>
      </w:r>
    </w:p>
    <w:p>
      <w:pPr>
        <w:tabs>
          <w:tab w:val="left" w:pos="4140"/>
        </w:tabs>
        <w:spacing w:line="312" w:lineRule="auto"/>
        <w:ind w:left="359" w:leftChars="171"/>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二</w:t>
      </w:r>
      <w:r>
        <w:rPr>
          <w:rFonts w:hint="eastAsia" w:ascii="微软雅黑" w:hAnsi="微软雅黑" w:eastAsia="微软雅黑" w:cs="微软雅黑"/>
          <w:color w:val="000000" w:themeColor="text1"/>
          <w:sz w:val="28"/>
          <w:highlight w:val="none"/>
          <w14:textFill>
            <w14:solidFill>
              <w14:schemeClr w14:val="tx1"/>
            </w14:solidFill>
          </w14:textFill>
        </w:rPr>
        <w:t>〇</w:t>
      </w:r>
      <w:r>
        <w:rPr>
          <w:rFonts w:hint="eastAsia" w:ascii="仿宋_GB2312" w:hAnsi="仿宋_GB2312" w:eastAsia="仿宋_GB2312" w:cs="仿宋_GB2312"/>
          <w:color w:val="000000" w:themeColor="text1"/>
          <w:sz w:val="28"/>
          <w:highlight w:val="none"/>
          <w14:textFill>
            <w14:solidFill>
              <w14:schemeClr w14:val="tx1"/>
            </w14:solidFill>
          </w14:textFill>
        </w:rPr>
        <w:t>二</w:t>
      </w:r>
      <w:r>
        <w:rPr>
          <w:rFonts w:hint="eastAsia" w:ascii="仿宋_GB2312" w:hAnsi="仿宋_GB2312" w:eastAsia="仿宋_GB2312" w:cs="仿宋_GB2312"/>
          <w:color w:val="000000" w:themeColor="text1"/>
          <w:sz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highlight w:val="none"/>
          <w14:textFill>
            <w14:solidFill>
              <w14:schemeClr w14:val="tx1"/>
            </w14:solidFill>
          </w14:textFill>
        </w:rPr>
        <w:t>年</w:t>
      </w:r>
      <w:r>
        <w:rPr>
          <w:rFonts w:hint="eastAsia" w:ascii="仿宋_GB2312" w:hAnsi="仿宋_GB2312" w:eastAsia="仿宋_GB2312" w:cs="仿宋_GB2312"/>
          <w:color w:val="000000" w:themeColor="text1"/>
          <w:sz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8"/>
          <w:highlight w:val="none"/>
          <w14:textFill>
            <w14:solidFill>
              <w14:schemeClr w14:val="tx1"/>
            </w14:solidFill>
          </w14:textFill>
        </w:rPr>
        <w:t>月</w:t>
      </w:r>
      <w:r>
        <w:rPr>
          <w:rFonts w:hint="eastAsia" w:ascii="仿宋_GB2312" w:hAnsi="仿宋_GB2312" w:eastAsia="仿宋_GB2312" w:cs="仿宋_GB2312"/>
          <w:color w:val="000000" w:themeColor="text1"/>
          <w:sz w:val="28"/>
          <w:highlight w:val="none"/>
          <w:lang w:val="en-US" w:eastAsia="zh-CN"/>
          <w14:textFill>
            <w14:solidFill>
              <w14:schemeClr w14:val="tx1"/>
            </w14:solidFill>
          </w14:textFill>
        </w:rPr>
        <w:t>十九</w:t>
      </w:r>
      <w:r>
        <w:rPr>
          <w:rFonts w:hint="eastAsia" w:eastAsia="仿宋_GB2312"/>
          <w:color w:val="000000" w:themeColor="text1"/>
          <w:sz w:val="28"/>
          <w:highlight w:val="none"/>
          <w14:textFill>
            <w14:solidFill>
              <w14:schemeClr w14:val="tx1"/>
            </w14:solidFill>
          </w14:textFill>
        </w:rPr>
        <w:t>日</w:t>
      </w:r>
      <w:r>
        <w:rPr>
          <w:rFonts w:hint="eastAsia" w:eastAsia="仿宋_GB2312"/>
          <w:color w:val="000000" w:themeColor="text1"/>
          <w:sz w:val="28"/>
          <w:highlight w:val="none"/>
          <w14:textFill>
            <w14:solidFill>
              <w14:schemeClr w14:val="tx1"/>
            </w14:solidFill>
          </w14:textFill>
        </w:rPr>
        <w:tab/>
      </w:r>
    </w:p>
    <w:p>
      <w:pPr>
        <w:tabs>
          <w:tab w:val="left" w:pos="4140"/>
        </w:tabs>
        <w:spacing w:line="312" w:lineRule="auto"/>
        <w:ind w:left="359" w:leftChars="171"/>
        <w:rPr>
          <w:rFonts w:eastAsia="仿宋_GB2312"/>
          <w:color w:val="000000" w:themeColor="text1"/>
          <w:sz w:val="28"/>
          <w:highlight w:val="none"/>
          <w14:textFill>
            <w14:solidFill>
              <w14:schemeClr w14:val="tx1"/>
            </w14:solidFill>
          </w14:textFill>
        </w:rPr>
      </w:pPr>
    </w:p>
    <w:p>
      <w:pPr>
        <w:tabs>
          <w:tab w:val="left" w:pos="4140"/>
        </w:tabs>
        <w:spacing w:line="312" w:lineRule="auto"/>
        <w:ind w:left="359" w:leftChars="171"/>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 xml:space="preserve"> </w:t>
      </w:r>
      <w:r>
        <w:rPr>
          <w:rFonts w:eastAsia="仿宋_GB2312"/>
          <w:color w:val="000000" w:themeColor="text1"/>
          <w:sz w:val="28"/>
          <w:highlight w:val="none"/>
          <w14:textFill>
            <w14:solidFill>
              <w14:schemeClr w14:val="tx1"/>
            </w14:solidFill>
          </w14:textFill>
        </w:rPr>
        <w:t xml:space="preserve">                          资产评估师</w:t>
      </w:r>
      <w:r>
        <w:rPr>
          <w:rFonts w:hint="eastAsia" w:eastAsia="仿宋_GB2312"/>
          <w:color w:val="000000" w:themeColor="text1"/>
          <w:sz w:val="28"/>
          <w:highlight w:val="none"/>
          <w14:textFill>
            <w14:solidFill>
              <w14:schemeClr w14:val="tx1"/>
            </w14:solidFill>
          </w14:textFill>
        </w:rPr>
        <w:t>：</w:t>
      </w:r>
    </w:p>
    <w:p>
      <w:pPr>
        <w:tabs>
          <w:tab w:val="left" w:pos="4140"/>
        </w:tabs>
        <w:spacing w:before="120" w:after="120" w:line="312" w:lineRule="auto"/>
        <w:ind w:left="359" w:leftChars="171"/>
        <w:rPr>
          <w:rFonts w:eastAsia="仿宋_GB2312"/>
          <w:sz w:val="28"/>
          <w:highlight w:val="none"/>
        </w:rPr>
      </w:pPr>
      <w:r>
        <w:rPr>
          <w:rFonts w:hint="eastAsia" w:eastAsia="仿宋_GB2312"/>
          <w:color w:val="FF6600"/>
          <w:sz w:val="28"/>
          <w:highlight w:val="none"/>
        </w:rPr>
        <w:tab/>
      </w: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tabs>
          <w:tab w:val="left" w:pos="4140"/>
        </w:tabs>
        <w:spacing w:before="120" w:after="120" w:line="312" w:lineRule="auto"/>
        <w:ind w:left="359" w:leftChars="171"/>
        <w:rPr>
          <w:rFonts w:eastAsia="仿宋_GB2312"/>
          <w:sz w:val="28"/>
          <w:highlight w:val="none"/>
        </w:rPr>
      </w:pPr>
    </w:p>
    <w:p>
      <w:pPr>
        <w:pStyle w:val="3"/>
        <w:spacing w:before="240" w:beforeLines="100" w:after="0" w:line="360" w:lineRule="auto"/>
        <w:jc w:val="center"/>
        <w:rPr>
          <w:sz w:val="44"/>
          <w:szCs w:val="44"/>
          <w:highlight w:val="none"/>
        </w:rPr>
      </w:pPr>
      <w:r>
        <w:rPr>
          <w:rFonts w:eastAsia="仿宋_GB2312"/>
          <w:sz w:val="28"/>
          <w:highlight w:val="none"/>
        </w:rPr>
        <w:br w:type="page"/>
      </w:r>
      <w:bookmarkStart w:id="26" w:name="_Toc22719"/>
      <w:r>
        <w:rPr>
          <w:rFonts w:hint="eastAsia"/>
          <w:sz w:val="44"/>
          <w:szCs w:val="44"/>
          <w:highlight w:val="none"/>
        </w:rPr>
        <w:t>资产评估报告附件</w:t>
      </w:r>
      <w:bookmarkEnd w:id="26"/>
    </w:p>
    <w:p>
      <w:pPr>
        <w:numPr>
          <w:ilvl w:val="0"/>
          <w:numId w:val="9"/>
        </w:numPr>
        <w:tabs>
          <w:tab w:val="left" w:pos="1701"/>
        </w:tabs>
        <w:snapToGrid w:val="0"/>
        <w:spacing w:line="360" w:lineRule="auto"/>
        <w:ind w:left="2" w:firstLine="565" w:firstLineChars="202"/>
        <w:rPr>
          <w:rFonts w:eastAsia="仿宋_GB2312"/>
          <w:sz w:val="28"/>
          <w:highlight w:val="none"/>
        </w:rPr>
      </w:pPr>
      <w:r>
        <w:rPr>
          <w:rFonts w:hint="eastAsia" w:eastAsia="仿宋_GB2312"/>
          <w:sz w:val="28"/>
          <w:highlight w:val="none"/>
        </w:rPr>
        <w:t>资产</w:t>
      </w:r>
      <w:r>
        <w:rPr>
          <w:rFonts w:eastAsia="仿宋_GB2312"/>
          <w:sz w:val="28"/>
          <w:highlight w:val="none"/>
        </w:rPr>
        <w:t>评估结果汇</w:t>
      </w:r>
      <w:r>
        <w:rPr>
          <w:rFonts w:eastAsia="仿宋_GB2312"/>
          <w:color w:val="000000" w:themeColor="text1"/>
          <w:sz w:val="28"/>
          <w:highlight w:val="none"/>
          <w14:textFill>
            <w14:solidFill>
              <w14:schemeClr w14:val="tx1"/>
            </w14:solidFill>
          </w14:textFill>
        </w:rPr>
        <w:t>总表</w:t>
      </w:r>
      <w:r>
        <w:rPr>
          <w:rFonts w:hint="eastAsia" w:eastAsia="仿宋_GB2312"/>
          <w:color w:val="000000" w:themeColor="text1"/>
          <w:sz w:val="28"/>
          <w:highlight w:val="none"/>
          <w14:textFill>
            <w14:solidFill>
              <w14:schemeClr w14:val="tx1"/>
            </w14:solidFill>
          </w14:textFill>
        </w:rPr>
        <w:t>和明细表</w:t>
      </w:r>
      <w:r>
        <w:rPr>
          <w:rFonts w:eastAsia="仿宋_GB2312"/>
          <w:color w:val="000000" w:themeColor="text1"/>
          <w:sz w:val="28"/>
          <w:highlight w:val="none"/>
          <w14:textFill>
            <w14:solidFill>
              <w14:schemeClr w14:val="tx1"/>
            </w14:solidFill>
          </w14:textFill>
        </w:rPr>
        <w:t>；</w:t>
      </w:r>
      <w:r>
        <w:rPr>
          <w:rFonts w:eastAsia="仿宋_GB2312"/>
          <w:sz w:val="28"/>
          <w:highlight w:val="none"/>
        </w:rPr>
        <w:t xml:space="preserve"> </w:t>
      </w:r>
    </w:p>
    <w:p>
      <w:pPr>
        <w:numPr>
          <w:ilvl w:val="0"/>
          <w:numId w:val="9"/>
        </w:numPr>
        <w:tabs>
          <w:tab w:val="left" w:pos="1701"/>
        </w:tabs>
        <w:snapToGrid w:val="0"/>
        <w:spacing w:line="360" w:lineRule="auto"/>
        <w:ind w:left="2" w:firstLine="565" w:firstLineChars="202"/>
        <w:rPr>
          <w:rFonts w:eastAsia="仿宋_GB2312"/>
          <w:sz w:val="28"/>
          <w:highlight w:val="none"/>
        </w:rPr>
      </w:pPr>
      <w:r>
        <w:rPr>
          <w:rFonts w:hint="eastAsia" w:eastAsia="仿宋_GB2312"/>
          <w:sz w:val="28"/>
          <w:highlight w:val="none"/>
          <w:lang w:val="en-US" w:eastAsia="zh-CN"/>
        </w:rPr>
        <w:t>法院</w:t>
      </w:r>
      <w:r>
        <w:rPr>
          <w:rFonts w:hint="eastAsia" w:eastAsia="仿宋_GB2312"/>
          <w:sz w:val="28"/>
          <w:highlight w:val="none"/>
        </w:rPr>
        <w:t>委托书</w:t>
      </w:r>
      <w:r>
        <w:rPr>
          <w:rFonts w:eastAsia="仿宋_GB2312"/>
          <w:sz w:val="28"/>
          <w:highlight w:val="none"/>
        </w:rPr>
        <w:t>；</w:t>
      </w:r>
    </w:p>
    <w:p>
      <w:pPr>
        <w:numPr>
          <w:ilvl w:val="0"/>
          <w:numId w:val="9"/>
        </w:numPr>
        <w:tabs>
          <w:tab w:val="left" w:pos="1701"/>
        </w:tabs>
        <w:snapToGrid w:val="0"/>
        <w:spacing w:line="360" w:lineRule="auto"/>
        <w:ind w:left="2" w:firstLine="565" w:firstLineChars="202"/>
        <w:rPr>
          <w:rFonts w:eastAsia="仿宋_GB2312"/>
          <w:sz w:val="28"/>
          <w:highlight w:val="none"/>
        </w:rPr>
      </w:pPr>
      <w:r>
        <w:rPr>
          <w:rFonts w:hint="eastAsia" w:eastAsia="仿宋_GB2312"/>
          <w:sz w:val="28"/>
          <w:highlight w:val="none"/>
        </w:rPr>
        <w:t>签名资产评估师</w:t>
      </w:r>
      <w:r>
        <w:rPr>
          <w:rFonts w:eastAsia="仿宋_GB2312"/>
          <w:sz w:val="28"/>
          <w:highlight w:val="none"/>
        </w:rPr>
        <w:t>承诺函；</w:t>
      </w:r>
    </w:p>
    <w:p>
      <w:pPr>
        <w:numPr>
          <w:ilvl w:val="0"/>
          <w:numId w:val="9"/>
        </w:numPr>
        <w:tabs>
          <w:tab w:val="left" w:pos="1701"/>
        </w:tabs>
        <w:snapToGrid w:val="0"/>
        <w:spacing w:line="360" w:lineRule="auto"/>
        <w:ind w:left="2" w:firstLine="565" w:firstLineChars="202"/>
        <w:rPr>
          <w:rFonts w:eastAsia="仿宋_GB2312"/>
          <w:sz w:val="28"/>
          <w:highlight w:val="none"/>
        </w:rPr>
      </w:pPr>
      <w:r>
        <w:rPr>
          <w:rFonts w:eastAsia="仿宋_GB2312"/>
          <w:sz w:val="28"/>
          <w:highlight w:val="none"/>
        </w:rPr>
        <w:t>中和资产评估</w:t>
      </w:r>
      <w:r>
        <w:rPr>
          <w:rFonts w:hint="eastAsia" w:eastAsia="仿宋_GB2312"/>
          <w:sz w:val="28"/>
          <w:highlight w:val="none"/>
        </w:rPr>
        <w:t>有限</w:t>
      </w:r>
      <w:r>
        <w:rPr>
          <w:rFonts w:eastAsia="仿宋_GB2312"/>
          <w:sz w:val="28"/>
          <w:highlight w:val="none"/>
        </w:rPr>
        <w:t>公司营业执照复印件；</w:t>
      </w:r>
    </w:p>
    <w:p>
      <w:pPr>
        <w:numPr>
          <w:ilvl w:val="0"/>
          <w:numId w:val="9"/>
        </w:numPr>
        <w:tabs>
          <w:tab w:val="left" w:pos="1701"/>
        </w:tabs>
        <w:snapToGrid w:val="0"/>
        <w:spacing w:line="360" w:lineRule="auto"/>
        <w:ind w:left="2" w:firstLine="565" w:firstLineChars="202"/>
        <w:rPr>
          <w:rFonts w:eastAsia="仿宋_GB2312"/>
          <w:sz w:val="28"/>
          <w:highlight w:val="none"/>
        </w:rPr>
      </w:pPr>
      <w:r>
        <w:rPr>
          <w:rFonts w:hint="eastAsia" w:eastAsia="仿宋_GB2312"/>
          <w:sz w:val="28"/>
          <w:highlight w:val="none"/>
        </w:rPr>
        <w:t>北京市</w:t>
      </w:r>
      <w:r>
        <w:rPr>
          <w:rFonts w:eastAsia="仿宋_GB2312"/>
          <w:sz w:val="28"/>
          <w:highlight w:val="none"/>
        </w:rPr>
        <w:t>财政局备案公告</w:t>
      </w:r>
      <w:r>
        <w:rPr>
          <w:rFonts w:hint="eastAsia" w:eastAsia="仿宋_GB2312"/>
          <w:sz w:val="28"/>
          <w:highlight w:val="none"/>
        </w:rPr>
        <w:t>（2017-</w:t>
      </w:r>
      <w:r>
        <w:rPr>
          <w:rFonts w:eastAsia="仿宋_GB2312"/>
          <w:sz w:val="28"/>
          <w:highlight w:val="none"/>
        </w:rPr>
        <w:t>0085号</w:t>
      </w:r>
      <w:r>
        <w:rPr>
          <w:rFonts w:hint="eastAsia" w:eastAsia="仿宋_GB2312"/>
          <w:sz w:val="28"/>
          <w:highlight w:val="none"/>
        </w:rPr>
        <w:t>）</w:t>
      </w:r>
      <w:r>
        <w:rPr>
          <w:rFonts w:eastAsia="仿宋_GB2312"/>
          <w:sz w:val="28"/>
          <w:highlight w:val="none"/>
        </w:rPr>
        <w:t>；</w:t>
      </w:r>
    </w:p>
    <w:p>
      <w:pPr>
        <w:numPr>
          <w:ilvl w:val="0"/>
          <w:numId w:val="9"/>
        </w:numPr>
        <w:tabs>
          <w:tab w:val="left" w:pos="1701"/>
        </w:tabs>
        <w:snapToGrid w:val="0"/>
        <w:spacing w:line="360" w:lineRule="auto"/>
        <w:ind w:left="2" w:firstLine="565" w:firstLineChars="202"/>
        <w:rPr>
          <w:rFonts w:eastAsia="仿宋_GB2312"/>
          <w:sz w:val="28"/>
          <w:highlight w:val="none"/>
        </w:rPr>
      </w:pPr>
      <w:r>
        <w:rPr>
          <w:rFonts w:hint="eastAsia" w:eastAsia="仿宋_GB2312"/>
          <w:sz w:val="28"/>
          <w:highlight w:val="none"/>
        </w:rPr>
        <w:t>签名资产评估师职业</w:t>
      </w:r>
      <w:r>
        <w:rPr>
          <w:rFonts w:eastAsia="仿宋_GB2312"/>
          <w:sz w:val="28"/>
          <w:highlight w:val="none"/>
        </w:rPr>
        <w:t>资格证书</w:t>
      </w:r>
      <w:r>
        <w:rPr>
          <w:rFonts w:hint="eastAsia" w:eastAsia="仿宋_GB2312"/>
          <w:sz w:val="28"/>
          <w:highlight w:val="none"/>
        </w:rPr>
        <w:t>登记卡</w:t>
      </w:r>
      <w:r>
        <w:rPr>
          <w:rFonts w:eastAsia="仿宋_GB2312"/>
          <w:sz w:val="28"/>
          <w:highlight w:val="none"/>
        </w:rPr>
        <w:t>复印件</w:t>
      </w:r>
      <w:r>
        <w:rPr>
          <w:rFonts w:hint="eastAsia" w:eastAsia="仿宋_GB2312"/>
          <w:sz w:val="28"/>
          <w:highlight w:val="none"/>
        </w:rPr>
        <w:t>。</w:t>
      </w:r>
    </w:p>
    <w:p>
      <w:pPr>
        <w:tabs>
          <w:tab w:val="left" w:pos="1985"/>
        </w:tabs>
        <w:snapToGrid w:val="0"/>
        <w:spacing w:line="360" w:lineRule="auto"/>
        <w:ind w:left="568"/>
        <w:rPr>
          <w:rFonts w:eastAsia="仿宋_GB2312"/>
          <w:color w:val="FF0000"/>
          <w:sz w:val="28"/>
          <w:highlight w:val="none"/>
        </w:rPr>
      </w:pPr>
    </w:p>
    <w:p>
      <w:pPr>
        <w:rPr>
          <w:highlight w:val="none"/>
        </w:rPr>
      </w:pPr>
    </w:p>
    <w:sectPr>
      <w:pgSz w:w="11907" w:h="16839"/>
      <w:pgMar w:top="1440" w:right="1361" w:bottom="1440" w:left="1469" w:header="624" w:footer="302" w:gutter="0"/>
      <w:pgNumType w:start="1"/>
      <w:cols w:space="425"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tabs>
        <w:tab w:val="left" w:pos="1800"/>
      </w:tabs>
      <w:spacing w:line="240" w:lineRule="auto"/>
      <w:rPr>
        <w:rFonts w:ascii="仿宋_GB2312" w:eastAsia="仿宋_GB2312"/>
        <w:b/>
        <w:spacing w:val="-6"/>
        <w:sz w:val="22"/>
      </w:rPr>
    </w:pPr>
    <w:r>
      <w:rPr>
        <w:rFonts w:hint="eastAsia" w:ascii="仿宋_GB2312" w:eastAsia="仿宋_GB2312"/>
        <w:b/>
        <w:spacing w:val="-6"/>
        <w:sz w:val="22"/>
      </w:rPr>
      <w:t xml:space="preserve">通信地址:北京市东城区朝阳门北大街8号富华大厦A座13层                                 </w:t>
    </w:r>
    <w:r>
      <w:rPr>
        <w:rFonts w:ascii="仿宋_GB2312" w:eastAsia="仿宋_GB2312"/>
        <w:b/>
        <w:spacing w:val="-6"/>
        <w:sz w:val="22"/>
      </w:rPr>
      <w:fldChar w:fldCharType="begin"/>
    </w:r>
    <w:r>
      <w:rPr>
        <w:rFonts w:ascii="仿宋_GB2312" w:eastAsia="仿宋_GB2312"/>
        <w:b/>
        <w:spacing w:val="-6"/>
        <w:sz w:val="22"/>
      </w:rPr>
      <w:instrText xml:space="preserve"> PAGE   \* MERGEFORMAT </w:instrText>
    </w:r>
    <w:r>
      <w:rPr>
        <w:rFonts w:ascii="仿宋_GB2312" w:eastAsia="仿宋_GB2312"/>
        <w:b/>
        <w:spacing w:val="-6"/>
        <w:sz w:val="22"/>
      </w:rPr>
      <w:fldChar w:fldCharType="separate"/>
    </w:r>
    <w:r>
      <w:rPr>
        <w:rFonts w:ascii="仿宋_GB2312" w:eastAsia="仿宋_GB2312"/>
        <w:b/>
        <w:spacing w:val="-6"/>
        <w:sz w:val="22"/>
        <w:lang w:val="zh-CN"/>
      </w:rPr>
      <w:t>14</w:t>
    </w:r>
    <w:r>
      <w:rPr>
        <w:rFonts w:ascii="仿宋_GB2312" w:eastAsia="仿宋_GB2312"/>
        <w:b/>
        <w:spacing w:val="-6"/>
        <w:sz w:val="22"/>
      </w:rPr>
      <w:fldChar w:fldCharType="end"/>
    </w:r>
  </w:p>
  <w:p>
    <w:pPr>
      <w:pStyle w:val="22"/>
      <w:tabs>
        <w:tab w:val="left" w:pos="1800"/>
      </w:tabs>
      <w:spacing w:after="240" w:afterLines="100" w:line="360" w:lineRule="auto"/>
      <w:ind w:right="6"/>
      <w:rPr>
        <w:rFonts w:ascii="仿宋_GB2312" w:eastAsia="仿宋_GB2312"/>
      </w:rPr>
    </w:pPr>
    <w:r>
      <w:rPr>
        <w:rFonts w:hint="eastAsia" w:ascii="仿宋_GB2312" w:eastAsia="仿宋_GB2312"/>
        <w:b/>
        <w:sz w:val="22"/>
      </w:rPr>
      <w:t>邮政编码:100027         电话:(010)58383636         传真:(010)65547182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320"/>
        <w:tab w:val="clear" w:pos="8640"/>
      </w:tabs>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keepNext w:val="0"/>
      <w:keepLines w:val="0"/>
      <w:pageBreakBefore w:val="0"/>
      <w:widowControl w:val="0"/>
      <w:pBdr>
        <w:bottom w:val="thinThickSmallGap" w:color="auto" w:sz="24" w:space="1"/>
      </w:pBdr>
      <w:tabs>
        <w:tab w:val="left" w:pos="720"/>
        <w:tab w:val="left" w:pos="900"/>
        <w:tab w:val="left" w:pos="1800"/>
        <w:tab w:val="left" w:pos="7797"/>
        <w:tab w:val="right" w:pos="8505"/>
      </w:tabs>
      <w:kinsoku/>
      <w:wordWrap/>
      <w:overflowPunct/>
      <w:topLinePunct w:val="0"/>
      <w:autoSpaceDE/>
      <w:autoSpaceDN/>
      <w:bidi w:val="0"/>
      <w:adjustRightInd w:val="0"/>
      <w:snapToGrid/>
      <w:spacing w:line="240" w:lineRule="auto"/>
      <w:jc w:val="right"/>
      <w:textAlignment w:val="baseline"/>
      <w:rPr>
        <w:rFonts w:hint="eastAsia" w:ascii="隶书" w:eastAsia="隶书"/>
        <w:szCs w:val="18"/>
        <w:lang w:eastAsia="zh-CN"/>
      </w:rPr>
    </w:pPr>
    <w:r>
      <w:rPr>
        <w:rFonts w:ascii="宋体" w:hAnsi="宋体" w:eastAsia="隶书"/>
        <w:b/>
        <w:i/>
        <w:spacing w:val="30"/>
        <w:sz w:val="20"/>
      </w:rPr>
      <w:drawing>
        <wp:anchor distT="0" distB="0" distL="114300" distR="114300" simplePos="0" relativeHeight="251659264" behindDoc="0" locked="0" layoutInCell="1" allowOverlap="1">
          <wp:simplePos x="0" y="0"/>
          <wp:positionH relativeFrom="column">
            <wp:posOffset>59055</wp:posOffset>
          </wp:positionH>
          <wp:positionV relativeFrom="paragraph">
            <wp:posOffset>39370</wp:posOffset>
          </wp:positionV>
          <wp:extent cx="1320165" cy="205740"/>
          <wp:effectExtent l="0" t="0" r="0" b="3810"/>
          <wp:wrapNone/>
          <wp:docPr id="3" name="图片 3" descr="中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和"/>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20165" cy="205740"/>
                  </a:xfrm>
                  <a:prstGeom prst="rect">
                    <a:avLst/>
                  </a:prstGeom>
                  <a:noFill/>
                  <a:ln w="9525">
                    <a:noFill/>
                    <a:miter lim="800000"/>
                    <a:headEnd/>
                    <a:tailEnd/>
                  </a:ln>
                </pic:spPr>
              </pic:pic>
            </a:graphicData>
          </a:graphic>
        </wp:anchor>
      </w:drawing>
    </w:r>
    <w:r>
      <w:rPr>
        <w:rFonts w:hint="eastAsia" w:ascii="隶书" w:eastAsia="隶书"/>
        <w:szCs w:val="18"/>
      </w:rPr>
      <w:t xml:space="preserve">                                  </w:t>
    </w:r>
    <w:r>
      <w:rPr>
        <w:rFonts w:hint="eastAsia" w:ascii="隶书" w:eastAsia="隶书"/>
        <w:szCs w:val="18"/>
        <w:lang w:eastAsia="zh-CN"/>
      </w:rPr>
      <w:t>永宁县人民法院拟财产处置所涉及的</w:t>
    </w:r>
  </w:p>
  <w:p>
    <w:pPr>
      <w:pStyle w:val="22"/>
      <w:keepNext w:val="0"/>
      <w:keepLines w:val="0"/>
      <w:pageBreakBefore w:val="0"/>
      <w:widowControl w:val="0"/>
      <w:pBdr>
        <w:bottom w:val="thinThickSmallGap" w:color="auto" w:sz="24" w:space="1"/>
      </w:pBdr>
      <w:tabs>
        <w:tab w:val="left" w:pos="720"/>
        <w:tab w:val="left" w:pos="900"/>
        <w:tab w:val="left" w:pos="1800"/>
        <w:tab w:val="left" w:pos="7797"/>
        <w:tab w:val="right" w:pos="8505"/>
      </w:tabs>
      <w:kinsoku/>
      <w:wordWrap/>
      <w:overflowPunct/>
      <w:topLinePunct w:val="0"/>
      <w:autoSpaceDE/>
      <w:autoSpaceDN/>
      <w:bidi w:val="0"/>
      <w:adjustRightInd w:val="0"/>
      <w:snapToGrid/>
      <w:spacing w:line="240" w:lineRule="auto"/>
      <w:jc w:val="right"/>
      <w:textAlignment w:val="baseline"/>
      <w:rPr>
        <w:rFonts w:hint="eastAsia" w:ascii="隶书" w:eastAsia="隶书"/>
        <w:szCs w:val="18"/>
        <w:lang w:eastAsia="zh-CN"/>
      </w:rPr>
    </w:pPr>
    <w:r>
      <w:rPr>
        <w:rFonts w:hint="eastAsia" w:ascii="隶书" w:eastAsia="隶书"/>
        <w:szCs w:val="18"/>
        <w:lang w:eastAsia="zh-CN"/>
      </w:rPr>
      <w:t>宁夏宏兴天然气股份有限公司相关资产项目</w:t>
    </w:r>
    <w:r>
      <w:rPr>
        <w:rFonts w:hint="eastAsia" w:ascii="隶书" w:eastAsia="隶书"/>
        <w:szCs w:val="18"/>
      </w:rPr>
      <w:t>资产评估报告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clear" w:pos="4320"/>
        <w:tab w:val="clear" w:pos="864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845CB"/>
    <w:multiLevelType w:val="singleLevel"/>
    <w:tmpl w:val="975845CB"/>
    <w:lvl w:ilvl="0" w:tentative="0">
      <w:start w:val="1"/>
      <w:numFmt w:val="decimal"/>
      <w:suff w:val="space"/>
      <w:lvlText w:val="%1."/>
      <w:lvlJc w:val="left"/>
    </w:lvl>
  </w:abstractNum>
  <w:abstractNum w:abstractNumId="1">
    <w:nsid w:val="A27866D1"/>
    <w:multiLevelType w:val="singleLevel"/>
    <w:tmpl w:val="A27866D1"/>
    <w:lvl w:ilvl="0" w:tentative="0">
      <w:start w:val="1"/>
      <w:numFmt w:val="decimal"/>
      <w:suff w:val="space"/>
      <w:lvlText w:val="%1."/>
      <w:lvlJc w:val="left"/>
    </w:lvl>
  </w:abstractNum>
  <w:abstractNum w:abstractNumId="2">
    <w:nsid w:val="B4CA0A79"/>
    <w:multiLevelType w:val="singleLevel"/>
    <w:tmpl w:val="B4CA0A79"/>
    <w:lvl w:ilvl="0" w:tentative="0">
      <w:start w:val="1"/>
      <w:numFmt w:val="decimal"/>
      <w:suff w:val="space"/>
      <w:lvlText w:val="%1."/>
      <w:lvlJc w:val="left"/>
    </w:lvl>
  </w:abstractNum>
  <w:abstractNum w:abstractNumId="3">
    <w:nsid w:val="1F7636BD"/>
    <w:multiLevelType w:val="multilevel"/>
    <w:tmpl w:val="1F7636BD"/>
    <w:lvl w:ilvl="0" w:tentative="0">
      <w:start w:val="1"/>
      <w:numFmt w:val="none"/>
      <w:lvlText w:val="."/>
      <w:legacy w:legacy="1" w:legacySpace="0" w:legacyIndent="425"/>
      <w:lvlJc w:val="left"/>
      <w:pPr>
        <w:ind w:left="425" w:hanging="425"/>
      </w:pPr>
    </w:lvl>
    <w:lvl w:ilvl="1" w:tentative="0">
      <w:start w:val="1"/>
      <w:numFmt w:val="chineseCountingThousand"/>
      <w:pStyle w:val="4"/>
      <w:lvlText w:val="%2、"/>
      <w:lvlJc w:val="left"/>
      <w:pPr>
        <w:ind w:left="850" w:hanging="425"/>
      </w:pPr>
    </w:lvl>
    <w:lvl w:ilvl="2" w:tentative="0">
      <w:start w:val="1"/>
      <w:numFmt w:val="chineseCountingThousand"/>
      <w:lvlText w:val="（%3）"/>
      <w:lvlJc w:val="left"/>
      <w:pPr>
        <w:ind w:left="1275" w:hanging="425"/>
      </w:pPr>
      <w:rPr>
        <w:rFonts w:hint="eastAsia" w:ascii="仿宋_GB2312" w:eastAsia="仿宋_GB2312"/>
        <w:sz w:val="28"/>
      </w:rPr>
    </w:lvl>
    <w:lvl w:ilvl="3" w:tentative="0">
      <w:start w:val="1"/>
      <w:numFmt w:val="decimal"/>
      <w:pStyle w:val="6"/>
      <w:lvlText w:val="%4."/>
      <w:lvlJc w:val="left"/>
      <w:pPr>
        <w:ind w:left="1700" w:hanging="425"/>
      </w:pPr>
    </w:lvl>
    <w:lvl w:ilvl="4" w:tentative="0">
      <w:start w:val="1"/>
      <w:numFmt w:val="decimal"/>
      <w:pStyle w:val="7"/>
      <w:lvlText w:val="(%5)"/>
      <w:legacy w:legacy="1" w:legacySpace="0" w:legacyIndent="425"/>
      <w:lvlJc w:val="left"/>
      <w:pPr>
        <w:ind w:left="2125" w:hanging="425"/>
      </w:pPr>
    </w:lvl>
    <w:lvl w:ilvl="5" w:tentative="0">
      <w:start w:val="1"/>
      <w:numFmt w:val="lowerLetter"/>
      <w:pStyle w:val="8"/>
      <w:lvlText w:val="(%6)"/>
      <w:legacy w:legacy="1" w:legacySpace="0" w:legacyIndent="425"/>
      <w:lvlJc w:val="left"/>
      <w:pPr>
        <w:ind w:left="2550" w:hanging="425"/>
      </w:pPr>
    </w:lvl>
    <w:lvl w:ilvl="6" w:tentative="0">
      <w:start w:val="1"/>
      <w:numFmt w:val="lowerRoman"/>
      <w:pStyle w:val="9"/>
      <w:lvlText w:val="(%7)"/>
      <w:legacy w:legacy="1" w:legacySpace="0" w:legacyIndent="425"/>
      <w:lvlJc w:val="left"/>
      <w:pPr>
        <w:ind w:left="2975" w:hanging="425"/>
      </w:pPr>
    </w:lvl>
    <w:lvl w:ilvl="7" w:tentative="0">
      <w:start w:val="1"/>
      <w:numFmt w:val="lowerLetter"/>
      <w:pStyle w:val="10"/>
      <w:lvlText w:val="(%8)"/>
      <w:legacy w:legacy="1" w:legacySpace="0" w:legacyIndent="425"/>
      <w:lvlJc w:val="left"/>
      <w:pPr>
        <w:ind w:left="3400" w:hanging="425"/>
      </w:pPr>
    </w:lvl>
    <w:lvl w:ilvl="8" w:tentative="0">
      <w:start w:val="1"/>
      <w:numFmt w:val="lowerRoman"/>
      <w:pStyle w:val="11"/>
      <w:lvlText w:val="(%9)"/>
      <w:legacy w:legacy="1" w:legacySpace="0" w:legacyIndent="425"/>
      <w:lvlJc w:val="left"/>
      <w:pPr>
        <w:ind w:left="3825" w:hanging="425"/>
      </w:pPr>
    </w:lvl>
  </w:abstractNum>
  <w:abstractNum w:abstractNumId="4">
    <w:nsid w:val="40F96191"/>
    <w:multiLevelType w:val="multilevel"/>
    <w:tmpl w:val="40F96191"/>
    <w:lvl w:ilvl="0" w:tentative="0">
      <w:start w:val="1"/>
      <w:numFmt w:val="japaneseCounting"/>
      <w:lvlText w:val="（%1）"/>
      <w:lvlJc w:val="left"/>
      <w:pPr>
        <w:ind w:left="1594" w:hanging="885"/>
      </w:pPr>
      <w:rPr>
        <w:rFonts w:hint="default" w:cs="Times New Roman"/>
      </w:rPr>
    </w:lvl>
    <w:lvl w:ilvl="1" w:tentative="0">
      <w:start w:val="1"/>
      <w:numFmt w:val="lowerLetter"/>
      <w:lvlText w:val="%2)"/>
      <w:lvlJc w:val="left"/>
      <w:pPr>
        <w:ind w:left="1379" w:hanging="420"/>
      </w:pPr>
      <w:rPr>
        <w:rFonts w:cs="Times New Roman"/>
      </w:rPr>
    </w:lvl>
    <w:lvl w:ilvl="2" w:tentative="0">
      <w:start w:val="1"/>
      <w:numFmt w:val="lowerRoman"/>
      <w:lvlText w:val="%3."/>
      <w:lvlJc w:val="right"/>
      <w:pPr>
        <w:ind w:left="1799" w:hanging="420"/>
      </w:pPr>
      <w:rPr>
        <w:rFonts w:cs="Times New Roman"/>
      </w:rPr>
    </w:lvl>
    <w:lvl w:ilvl="3" w:tentative="0">
      <w:start w:val="1"/>
      <w:numFmt w:val="decimal"/>
      <w:lvlText w:val="%4."/>
      <w:lvlJc w:val="left"/>
      <w:pPr>
        <w:ind w:left="2219" w:hanging="420"/>
      </w:pPr>
      <w:rPr>
        <w:rFonts w:cs="Times New Roman"/>
      </w:rPr>
    </w:lvl>
    <w:lvl w:ilvl="4" w:tentative="0">
      <w:start w:val="1"/>
      <w:numFmt w:val="lowerLetter"/>
      <w:lvlText w:val="%5)"/>
      <w:lvlJc w:val="left"/>
      <w:pPr>
        <w:ind w:left="2639" w:hanging="420"/>
      </w:pPr>
      <w:rPr>
        <w:rFonts w:cs="Times New Roman"/>
      </w:rPr>
    </w:lvl>
    <w:lvl w:ilvl="5" w:tentative="0">
      <w:start w:val="1"/>
      <w:numFmt w:val="lowerRoman"/>
      <w:lvlText w:val="%6."/>
      <w:lvlJc w:val="right"/>
      <w:pPr>
        <w:ind w:left="3059" w:hanging="420"/>
      </w:pPr>
      <w:rPr>
        <w:rFonts w:cs="Times New Roman"/>
      </w:rPr>
    </w:lvl>
    <w:lvl w:ilvl="6" w:tentative="0">
      <w:start w:val="1"/>
      <w:numFmt w:val="decimal"/>
      <w:lvlText w:val="%7."/>
      <w:lvlJc w:val="left"/>
      <w:pPr>
        <w:ind w:left="3479" w:hanging="420"/>
      </w:pPr>
      <w:rPr>
        <w:rFonts w:cs="Times New Roman"/>
      </w:rPr>
    </w:lvl>
    <w:lvl w:ilvl="7" w:tentative="0">
      <w:start w:val="1"/>
      <w:numFmt w:val="lowerLetter"/>
      <w:lvlText w:val="%8)"/>
      <w:lvlJc w:val="left"/>
      <w:pPr>
        <w:ind w:left="3899" w:hanging="420"/>
      </w:pPr>
      <w:rPr>
        <w:rFonts w:cs="Times New Roman"/>
      </w:rPr>
    </w:lvl>
    <w:lvl w:ilvl="8" w:tentative="0">
      <w:start w:val="1"/>
      <w:numFmt w:val="lowerRoman"/>
      <w:lvlText w:val="%9."/>
      <w:lvlJc w:val="right"/>
      <w:pPr>
        <w:ind w:left="4319" w:hanging="420"/>
      </w:pPr>
      <w:rPr>
        <w:rFonts w:cs="Times New Roman"/>
      </w:rPr>
    </w:lvl>
  </w:abstractNum>
  <w:abstractNum w:abstractNumId="5">
    <w:nsid w:val="464B7B07"/>
    <w:multiLevelType w:val="multilevel"/>
    <w:tmpl w:val="464B7B07"/>
    <w:lvl w:ilvl="0" w:tentative="0">
      <w:start w:val="1"/>
      <w:numFmt w:val="chineseCountingThousand"/>
      <w:suff w:val="nothing"/>
      <w:lvlText w:val="（%1）"/>
      <w:lvlJc w:val="left"/>
      <w:pPr>
        <w:ind w:left="1424" w:hanging="885"/>
      </w:pPr>
      <w:rPr>
        <w:rFonts w:hint="default"/>
      </w:rPr>
    </w:lvl>
    <w:lvl w:ilvl="1" w:tentative="0">
      <w:start w:val="1"/>
      <w:numFmt w:val="lowerLetter"/>
      <w:lvlText w:val="%2)"/>
      <w:lvlJc w:val="left"/>
      <w:pPr>
        <w:ind w:left="1379" w:hanging="420"/>
      </w:pPr>
      <w:rPr>
        <w:rFonts w:hint="eastAsia"/>
      </w:rPr>
    </w:lvl>
    <w:lvl w:ilvl="2" w:tentative="0">
      <w:start w:val="1"/>
      <w:numFmt w:val="lowerRoman"/>
      <w:lvlText w:val="%3."/>
      <w:lvlJc w:val="right"/>
      <w:pPr>
        <w:ind w:left="1799" w:hanging="420"/>
      </w:pPr>
      <w:rPr>
        <w:rFonts w:hint="eastAsia"/>
      </w:rPr>
    </w:lvl>
    <w:lvl w:ilvl="3" w:tentative="0">
      <w:start w:val="1"/>
      <w:numFmt w:val="decimal"/>
      <w:lvlText w:val="%4."/>
      <w:lvlJc w:val="left"/>
      <w:pPr>
        <w:ind w:left="2219" w:hanging="420"/>
      </w:pPr>
      <w:rPr>
        <w:rFonts w:hint="eastAsia"/>
      </w:rPr>
    </w:lvl>
    <w:lvl w:ilvl="4" w:tentative="0">
      <w:start w:val="1"/>
      <w:numFmt w:val="lowerLetter"/>
      <w:lvlText w:val="%5)"/>
      <w:lvlJc w:val="left"/>
      <w:pPr>
        <w:ind w:left="2639" w:hanging="420"/>
      </w:pPr>
      <w:rPr>
        <w:rFonts w:hint="eastAsia"/>
      </w:rPr>
    </w:lvl>
    <w:lvl w:ilvl="5" w:tentative="0">
      <w:start w:val="1"/>
      <w:numFmt w:val="lowerRoman"/>
      <w:lvlText w:val="%6."/>
      <w:lvlJc w:val="right"/>
      <w:pPr>
        <w:ind w:left="3059" w:hanging="420"/>
      </w:pPr>
      <w:rPr>
        <w:rFonts w:hint="eastAsia"/>
      </w:rPr>
    </w:lvl>
    <w:lvl w:ilvl="6" w:tentative="0">
      <w:start w:val="1"/>
      <w:numFmt w:val="decimal"/>
      <w:lvlText w:val="%7."/>
      <w:lvlJc w:val="left"/>
      <w:pPr>
        <w:ind w:left="3479" w:hanging="420"/>
      </w:pPr>
      <w:rPr>
        <w:rFonts w:hint="eastAsia"/>
      </w:rPr>
    </w:lvl>
    <w:lvl w:ilvl="7" w:tentative="0">
      <w:start w:val="1"/>
      <w:numFmt w:val="lowerLetter"/>
      <w:lvlText w:val="%8)"/>
      <w:lvlJc w:val="left"/>
      <w:pPr>
        <w:ind w:left="3899" w:hanging="420"/>
      </w:pPr>
      <w:rPr>
        <w:rFonts w:hint="eastAsia"/>
      </w:rPr>
    </w:lvl>
    <w:lvl w:ilvl="8" w:tentative="0">
      <w:start w:val="1"/>
      <w:numFmt w:val="lowerRoman"/>
      <w:lvlText w:val="%9."/>
      <w:lvlJc w:val="right"/>
      <w:pPr>
        <w:ind w:left="4319" w:hanging="420"/>
      </w:pPr>
      <w:rPr>
        <w:rFonts w:hint="eastAsia"/>
      </w:rPr>
    </w:lvl>
  </w:abstractNum>
  <w:abstractNum w:abstractNumId="6">
    <w:nsid w:val="48A34B0B"/>
    <w:multiLevelType w:val="multilevel"/>
    <w:tmpl w:val="48A34B0B"/>
    <w:lvl w:ilvl="0" w:tentative="0">
      <w:start w:val="1"/>
      <w:numFmt w:val="japaneseCounting"/>
      <w:lvlText w:val="（%1）"/>
      <w:lvlJc w:val="left"/>
      <w:pPr>
        <w:tabs>
          <w:tab w:val="left" w:pos="3015"/>
        </w:tabs>
        <w:ind w:left="3015" w:hanging="855"/>
      </w:pPr>
      <w:rPr>
        <w:rFonts w:hint="eastAsia"/>
        <w:b w:val="0"/>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4AC07AA5"/>
    <w:multiLevelType w:val="multilevel"/>
    <w:tmpl w:val="4AC07AA5"/>
    <w:lvl w:ilvl="0" w:tentative="0">
      <w:start w:val="1"/>
      <w:numFmt w:val="chineseCountingThousand"/>
      <w:lvlText w:val="附件%1、"/>
      <w:lvlJc w:val="left"/>
      <w:pPr>
        <w:ind w:left="1412" w:hanging="420"/>
      </w:pPr>
      <w:rPr>
        <w:rFonts w:hint="eastAsia"/>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abstractNum w:abstractNumId="8">
    <w:nsid w:val="7A1B4246"/>
    <w:multiLevelType w:val="multilevel"/>
    <w:tmpl w:val="7A1B4246"/>
    <w:lvl w:ilvl="0" w:tentative="0">
      <w:start w:val="1"/>
      <w:numFmt w:val="decimal"/>
      <w:lvlText w:val="%1."/>
      <w:lvlJc w:val="left"/>
      <w:pPr>
        <w:ind w:left="1271"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NDRlNjYwMGVhOGQ1Zjc2MTFhOTk1MDViYmY0MmYifQ=="/>
  </w:docVars>
  <w:rsids>
    <w:rsidRoot w:val="002E7FCD"/>
    <w:rsid w:val="00001472"/>
    <w:rsid w:val="00001BB2"/>
    <w:rsid w:val="00006F5B"/>
    <w:rsid w:val="0001155D"/>
    <w:rsid w:val="00012403"/>
    <w:rsid w:val="000165F2"/>
    <w:rsid w:val="00021214"/>
    <w:rsid w:val="000230CB"/>
    <w:rsid w:val="00023530"/>
    <w:rsid w:val="000271CD"/>
    <w:rsid w:val="000310C0"/>
    <w:rsid w:val="00032A14"/>
    <w:rsid w:val="00034192"/>
    <w:rsid w:val="00040C3A"/>
    <w:rsid w:val="000437B6"/>
    <w:rsid w:val="000441C0"/>
    <w:rsid w:val="000466E2"/>
    <w:rsid w:val="00046D77"/>
    <w:rsid w:val="00047571"/>
    <w:rsid w:val="00047938"/>
    <w:rsid w:val="00050B59"/>
    <w:rsid w:val="00051EC9"/>
    <w:rsid w:val="00053D9C"/>
    <w:rsid w:val="000555D2"/>
    <w:rsid w:val="00064E6C"/>
    <w:rsid w:val="00065BF0"/>
    <w:rsid w:val="0006730A"/>
    <w:rsid w:val="000744F8"/>
    <w:rsid w:val="0007598A"/>
    <w:rsid w:val="00076DF5"/>
    <w:rsid w:val="00080420"/>
    <w:rsid w:val="00082454"/>
    <w:rsid w:val="0008611E"/>
    <w:rsid w:val="000876EB"/>
    <w:rsid w:val="000933F5"/>
    <w:rsid w:val="000943AB"/>
    <w:rsid w:val="00095C3D"/>
    <w:rsid w:val="00096A0A"/>
    <w:rsid w:val="00096DD3"/>
    <w:rsid w:val="000A1282"/>
    <w:rsid w:val="000A2176"/>
    <w:rsid w:val="000A4DF0"/>
    <w:rsid w:val="000A6C15"/>
    <w:rsid w:val="000A714C"/>
    <w:rsid w:val="000B32EE"/>
    <w:rsid w:val="000B3431"/>
    <w:rsid w:val="000B6B71"/>
    <w:rsid w:val="000C1995"/>
    <w:rsid w:val="000C3EC5"/>
    <w:rsid w:val="000C630A"/>
    <w:rsid w:val="000C685A"/>
    <w:rsid w:val="000C7A16"/>
    <w:rsid w:val="000C7BD3"/>
    <w:rsid w:val="000D014D"/>
    <w:rsid w:val="000D2138"/>
    <w:rsid w:val="000E7542"/>
    <w:rsid w:val="000F3F9D"/>
    <w:rsid w:val="000F417E"/>
    <w:rsid w:val="000F5EBC"/>
    <w:rsid w:val="000F6684"/>
    <w:rsid w:val="000F7E0D"/>
    <w:rsid w:val="00100200"/>
    <w:rsid w:val="00100414"/>
    <w:rsid w:val="001034D6"/>
    <w:rsid w:val="0010575A"/>
    <w:rsid w:val="00105F3E"/>
    <w:rsid w:val="00111362"/>
    <w:rsid w:val="0011289B"/>
    <w:rsid w:val="00116601"/>
    <w:rsid w:val="001227E9"/>
    <w:rsid w:val="00134D30"/>
    <w:rsid w:val="001362D0"/>
    <w:rsid w:val="00136DDF"/>
    <w:rsid w:val="00140D18"/>
    <w:rsid w:val="00141061"/>
    <w:rsid w:val="0014153D"/>
    <w:rsid w:val="001453CB"/>
    <w:rsid w:val="001458F7"/>
    <w:rsid w:val="00146647"/>
    <w:rsid w:val="00146EC2"/>
    <w:rsid w:val="00146ED2"/>
    <w:rsid w:val="00151A02"/>
    <w:rsid w:val="00152C29"/>
    <w:rsid w:val="00152D85"/>
    <w:rsid w:val="00154694"/>
    <w:rsid w:val="00157619"/>
    <w:rsid w:val="00160811"/>
    <w:rsid w:val="00160EB9"/>
    <w:rsid w:val="00161111"/>
    <w:rsid w:val="001622F5"/>
    <w:rsid w:val="00163783"/>
    <w:rsid w:val="00163FE8"/>
    <w:rsid w:val="00166B06"/>
    <w:rsid w:val="001708C2"/>
    <w:rsid w:val="00173044"/>
    <w:rsid w:val="001742D9"/>
    <w:rsid w:val="0017491A"/>
    <w:rsid w:val="00177034"/>
    <w:rsid w:val="0018014F"/>
    <w:rsid w:val="00183734"/>
    <w:rsid w:val="00184593"/>
    <w:rsid w:val="00184AF7"/>
    <w:rsid w:val="00192BCE"/>
    <w:rsid w:val="0019413C"/>
    <w:rsid w:val="00194F8A"/>
    <w:rsid w:val="001952B1"/>
    <w:rsid w:val="00195A5D"/>
    <w:rsid w:val="0019724B"/>
    <w:rsid w:val="001A1B47"/>
    <w:rsid w:val="001A3084"/>
    <w:rsid w:val="001A4B55"/>
    <w:rsid w:val="001A4C93"/>
    <w:rsid w:val="001A5B9D"/>
    <w:rsid w:val="001A645A"/>
    <w:rsid w:val="001B2D53"/>
    <w:rsid w:val="001B5B5B"/>
    <w:rsid w:val="001B5C99"/>
    <w:rsid w:val="001B6368"/>
    <w:rsid w:val="001B67FC"/>
    <w:rsid w:val="001B6AB5"/>
    <w:rsid w:val="001B6BA1"/>
    <w:rsid w:val="001C0426"/>
    <w:rsid w:val="001C045C"/>
    <w:rsid w:val="001C1DEA"/>
    <w:rsid w:val="001C20C4"/>
    <w:rsid w:val="001C25E8"/>
    <w:rsid w:val="001C39BA"/>
    <w:rsid w:val="001C3C74"/>
    <w:rsid w:val="001C434E"/>
    <w:rsid w:val="001C4758"/>
    <w:rsid w:val="001C49EA"/>
    <w:rsid w:val="001C6A89"/>
    <w:rsid w:val="001C6ED8"/>
    <w:rsid w:val="001C7BA2"/>
    <w:rsid w:val="001D04E4"/>
    <w:rsid w:val="001D14C9"/>
    <w:rsid w:val="001D3A21"/>
    <w:rsid w:val="001D476A"/>
    <w:rsid w:val="001D48A0"/>
    <w:rsid w:val="001D4B11"/>
    <w:rsid w:val="001D4CB2"/>
    <w:rsid w:val="001D5048"/>
    <w:rsid w:val="001D55F2"/>
    <w:rsid w:val="001E073B"/>
    <w:rsid w:val="001E12C0"/>
    <w:rsid w:val="001E1351"/>
    <w:rsid w:val="001E22E9"/>
    <w:rsid w:val="001F1FE1"/>
    <w:rsid w:val="001F29C5"/>
    <w:rsid w:val="001F4CF5"/>
    <w:rsid w:val="001F5299"/>
    <w:rsid w:val="00202587"/>
    <w:rsid w:val="0020592F"/>
    <w:rsid w:val="00205953"/>
    <w:rsid w:val="002063B6"/>
    <w:rsid w:val="002064E6"/>
    <w:rsid w:val="002121DA"/>
    <w:rsid w:val="0021248F"/>
    <w:rsid w:val="00213A86"/>
    <w:rsid w:val="00214C42"/>
    <w:rsid w:val="00216C1D"/>
    <w:rsid w:val="00220B24"/>
    <w:rsid w:val="00225033"/>
    <w:rsid w:val="002262E4"/>
    <w:rsid w:val="00232FC2"/>
    <w:rsid w:val="00233C0D"/>
    <w:rsid w:val="0023576F"/>
    <w:rsid w:val="00235867"/>
    <w:rsid w:val="00241D5C"/>
    <w:rsid w:val="00243B6B"/>
    <w:rsid w:val="002459B8"/>
    <w:rsid w:val="0025260F"/>
    <w:rsid w:val="00252819"/>
    <w:rsid w:val="00255219"/>
    <w:rsid w:val="00255E84"/>
    <w:rsid w:val="002562E0"/>
    <w:rsid w:val="0025659F"/>
    <w:rsid w:val="00256E1C"/>
    <w:rsid w:val="002615B5"/>
    <w:rsid w:val="00261B22"/>
    <w:rsid w:val="00264FCC"/>
    <w:rsid w:val="00265631"/>
    <w:rsid w:val="002701F9"/>
    <w:rsid w:val="0027277F"/>
    <w:rsid w:val="0027300C"/>
    <w:rsid w:val="00273797"/>
    <w:rsid w:val="002741A9"/>
    <w:rsid w:val="00274C54"/>
    <w:rsid w:val="00275735"/>
    <w:rsid w:val="00284ECA"/>
    <w:rsid w:val="00285056"/>
    <w:rsid w:val="00291C47"/>
    <w:rsid w:val="00295069"/>
    <w:rsid w:val="0029638D"/>
    <w:rsid w:val="00297316"/>
    <w:rsid w:val="002A40FA"/>
    <w:rsid w:val="002B042F"/>
    <w:rsid w:val="002B2BC6"/>
    <w:rsid w:val="002B3DA2"/>
    <w:rsid w:val="002B742C"/>
    <w:rsid w:val="002C10B7"/>
    <w:rsid w:val="002C2DDD"/>
    <w:rsid w:val="002C4599"/>
    <w:rsid w:val="002C54EB"/>
    <w:rsid w:val="002C5F57"/>
    <w:rsid w:val="002D0D33"/>
    <w:rsid w:val="002D1D2E"/>
    <w:rsid w:val="002D3508"/>
    <w:rsid w:val="002D5A25"/>
    <w:rsid w:val="002D64DD"/>
    <w:rsid w:val="002D670F"/>
    <w:rsid w:val="002D6F26"/>
    <w:rsid w:val="002E1EB3"/>
    <w:rsid w:val="002E3CFE"/>
    <w:rsid w:val="002E48DD"/>
    <w:rsid w:val="002E774E"/>
    <w:rsid w:val="002E7FCD"/>
    <w:rsid w:val="002F115C"/>
    <w:rsid w:val="002F2812"/>
    <w:rsid w:val="002F3382"/>
    <w:rsid w:val="002F7CAD"/>
    <w:rsid w:val="003056D3"/>
    <w:rsid w:val="00305AE1"/>
    <w:rsid w:val="00311160"/>
    <w:rsid w:val="00311A5F"/>
    <w:rsid w:val="00313ECC"/>
    <w:rsid w:val="00314376"/>
    <w:rsid w:val="0031438D"/>
    <w:rsid w:val="00315F90"/>
    <w:rsid w:val="003166A5"/>
    <w:rsid w:val="00317069"/>
    <w:rsid w:val="00317CD7"/>
    <w:rsid w:val="00320A83"/>
    <w:rsid w:val="00324982"/>
    <w:rsid w:val="00325129"/>
    <w:rsid w:val="003251A5"/>
    <w:rsid w:val="00333254"/>
    <w:rsid w:val="0033559E"/>
    <w:rsid w:val="003366E8"/>
    <w:rsid w:val="0033789C"/>
    <w:rsid w:val="003402B7"/>
    <w:rsid w:val="0034266C"/>
    <w:rsid w:val="00343622"/>
    <w:rsid w:val="00343A60"/>
    <w:rsid w:val="00346852"/>
    <w:rsid w:val="003471A4"/>
    <w:rsid w:val="003522A5"/>
    <w:rsid w:val="003562DE"/>
    <w:rsid w:val="00357773"/>
    <w:rsid w:val="00360DC9"/>
    <w:rsid w:val="00361028"/>
    <w:rsid w:val="003618F2"/>
    <w:rsid w:val="003631DC"/>
    <w:rsid w:val="00367669"/>
    <w:rsid w:val="00371C41"/>
    <w:rsid w:val="0037342D"/>
    <w:rsid w:val="00381BA2"/>
    <w:rsid w:val="00386341"/>
    <w:rsid w:val="00386B5A"/>
    <w:rsid w:val="00387302"/>
    <w:rsid w:val="00393740"/>
    <w:rsid w:val="0039410B"/>
    <w:rsid w:val="00397878"/>
    <w:rsid w:val="003A0223"/>
    <w:rsid w:val="003A4669"/>
    <w:rsid w:val="003A4B9B"/>
    <w:rsid w:val="003A50A8"/>
    <w:rsid w:val="003A55B0"/>
    <w:rsid w:val="003B078E"/>
    <w:rsid w:val="003B1053"/>
    <w:rsid w:val="003B2490"/>
    <w:rsid w:val="003B34DA"/>
    <w:rsid w:val="003B3603"/>
    <w:rsid w:val="003B3E4F"/>
    <w:rsid w:val="003B5275"/>
    <w:rsid w:val="003C00DD"/>
    <w:rsid w:val="003C1991"/>
    <w:rsid w:val="003C282C"/>
    <w:rsid w:val="003C5A64"/>
    <w:rsid w:val="003C77E8"/>
    <w:rsid w:val="003C7DFC"/>
    <w:rsid w:val="003D1A09"/>
    <w:rsid w:val="003D2D3E"/>
    <w:rsid w:val="003D329E"/>
    <w:rsid w:val="003D6E85"/>
    <w:rsid w:val="003E1EAE"/>
    <w:rsid w:val="003E5930"/>
    <w:rsid w:val="003E706A"/>
    <w:rsid w:val="003F3037"/>
    <w:rsid w:val="003F38B8"/>
    <w:rsid w:val="003F4F66"/>
    <w:rsid w:val="00400536"/>
    <w:rsid w:val="0040371A"/>
    <w:rsid w:val="00403953"/>
    <w:rsid w:val="004044C0"/>
    <w:rsid w:val="004046B5"/>
    <w:rsid w:val="00405A48"/>
    <w:rsid w:val="00410135"/>
    <w:rsid w:val="00411642"/>
    <w:rsid w:val="004211AC"/>
    <w:rsid w:val="00422776"/>
    <w:rsid w:val="0042370D"/>
    <w:rsid w:val="00427335"/>
    <w:rsid w:val="00427F8E"/>
    <w:rsid w:val="00433324"/>
    <w:rsid w:val="00436552"/>
    <w:rsid w:val="00436D59"/>
    <w:rsid w:val="00437186"/>
    <w:rsid w:val="00440A4E"/>
    <w:rsid w:val="00440BF0"/>
    <w:rsid w:val="00441F15"/>
    <w:rsid w:val="004452C8"/>
    <w:rsid w:val="004478CC"/>
    <w:rsid w:val="0045603B"/>
    <w:rsid w:val="00462EE5"/>
    <w:rsid w:val="00463074"/>
    <w:rsid w:val="004643D6"/>
    <w:rsid w:val="0046789F"/>
    <w:rsid w:val="00471AE7"/>
    <w:rsid w:val="0047269D"/>
    <w:rsid w:val="00474121"/>
    <w:rsid w:val="00474D74"/>
    <w:rsid w:val="00477842"/>
    <w:rsid w:val="004828DE"/>
    <w:rsid w:val="00486219"/>
    <w:rsid w:val="00487E72"/>
    <w:rsid w:val="004903E7"/>
    <w:rsid w:val="00492E62"/>
    <w:rsid w:val="00493B8F"/>
    <w:rsid w:val="004940A9"/>
    <w:rsid w:val="004952E9"/>
    <w:rsid w:val="00496794"/>
    <w:rsid w:val="004A0EC7"/>
    <w:rsid w:val="004A1552"/>
    <w:rsid w:val="004A38C2"/>
    <w:rsid w:val="004A5AAA"/>
    <w:rsid w:val="004B54D8"/>
    <w:rsid w:val="004B6ABD"/>
    <w:rsid w:val="004B7DD5"/>
    <w:rsid w:val="004B7E2D"/>
    <w:rsid w:val="004C12B1"/>
    <w:rsid w:val="004C49CB"/>
    <w:rsid w:val="004C4AEF"/>
    <w:rsid w:val="004C6AD5"/>
    <w:rsid w:val="004C72C1"/>
    <w:rsid w:val="004D3CAB"/>
    <w:rsid w:val="004D5324"/>
    <w:rsid w:val="004E0806"/>
    <w:rsid w:val="004E3EB1"/>
    <w:rsid w:val="004E5A3D"/>
    <w:rsid w:val="004E69C3"/>
    <w:rsid w:val="004F3FB9"/>
    <w:rsid w:val="004F56DC"/>
    <w:rsid w:val="004F634D"/>
    <w:rsid w:val="00500EE7"/>
    <w:rsid w:val="0050179D"/>
    <w:rsid w:val="00502BCE"/>
    <w:rsid w:val="00503D72"/>
    <w:rsid w:val="00507763"/>
    <w:rsid w:val="00507EC6"/>
    <w:rsid w:val="005114DE"/>
    <w:rsid w:val="00514EF2"/>
    <w:rsid w:val="00517698"/>
    <w:rsid w:val="005225D4"/>
    <w:rsid w:val="005237CB"/>
    <w:rsid w:val="005304F9"/>
    <w:rsid w:val="00533480"/>
    <w:rsid w:val="005343E8"/>
    <w:rsid w:val="0053447E"/>
    <w:rsid w:val="0053510A"/>
    <w:rsid w:val="00537B05"/>
    <w:rsid w:val="005420CB"/>
    <w:rsid w:val="00542438"/>
    <w:rsid w:val="00546FE0"/>
    <w:rsid w:val="00547845"/>
    <w:rsid w:val="00550720"/>
    <w:rsid w:val="00555AAD"/>
    <w:rsid w:val="00557612"/>
    <w:rsid w:val="00560260"/>
    <w:rsid w:val="0056187A"/>
    <w:rsid w:val="00564061"/>
    <w:rsid w:val="0056660D"/>
    <w:rsid w:val="005672F9"/>
    <w:rsid w:val="00572C21"/>
    <w:rsid w:val="00572EF4"/>
    <w:rsid w:val="0057640D"/>
    <w:rsid w:val="005801BC"/>
    <w:rsid w:val="00581586"/>
    <w:rsid w:val="00581C0B"/>
    <w:rsid w:val="00581FC5"/>
    <w:rsid w:val="0058356A"/>
    <w:rsid w:val="00583C05"/>
    <w:rsid w:val="00590F11"/>
    <w:rsid w:val="00597574"/>
    <w:rsid w:val="005A10B0"/>
    <w:rsid w:val="005A16BF"/>
    <w:rsid w:val="005A355D"/>
    <w:rsid w:val="005A3A82"/>
    <w:rsid w:val="005A4678"/>
    <w:rsid w:val="005A49FF"/>
    <w:rsid w:val="005B100B"/>
    <w:rsid w:val="005B1528"/>
    <w:rsid w:val="005B19D6"/>
    <w:rsid w:val="005B27B9"/>
    <w:rsid w:val="005B397C"/>
    <w:rsid w:val="005B5414"/>
    <w:rsid w:val="005C0232"/>
    <w:rsid w:val="005C043D"/>
    <w:rsid w:val="005C1E5A"/>
    <w:rsid w:val="005C433F"/>
    <w:rsid w:val="005C5047"/>
    <w:rsid w:val="005C6CDF"/>
    <w:rsid w:val="005C7C56"/>
    <w:rsid w:val="005D1B9E"/>
    <w:rsid w:val="005D1FE6"/>
    <w:rsid w:val="005D3B44"/>
    <w:rsid w:val="005D4458"/>
    <w:rsid w:val="005D46A3"/>
    <w:rsid w:val="005D46CB"/>
    <w:rsid w:val="005D4BE6"/>
    <w:rsid w:val="005D6A75"/>
    <w:rsid w:val="005D7821"/>
    <w:rsid w:val="005E2762"/>
    <w:rsid w:val="005E2E17"/>
    <w:rsid w:val="005E7692"/>
    <w:rsid w:val="005F3B7B"/>
    <w:rsid w:val="005F5139"/>
    <w:rsid w:val="00606550"/>
    <w:rsid w:val="00611460"/>
    <w:rsid w:val="00613E40"/>
    <w:rsid w:val="00614D08"/>
    <w:rsid w:val="00622862"/>
    <w:rsid w:val="00624909"/>
    <w:rsid w:val="00626741"/>
    <w:rsid w:val="00633356"/>
    <w:rsid w:val="0063742D"/>
    <w:rsid w:val="00640610"/>
    <w:rsid w:val="00640A90"/>
    <w:rsid w:val="00640C15"/>
    <w:rsid w:val="006419DE"/>
    <w:rsid w:val="0064477E"/>
    <w:rsid w:val="00646F2C"/>
    <w:rsid w:val="006473FC"/>
    <w:rsid w:val="006474FB"/>
    <w:rsid w:val="006508F0"/>
    <w:rsid w:val="00655D79"/>
    <w:rsid w:val="006565AD"/>
    <w:rsid w:val="00657862"/>
    <w:rsid w:val="00661F2D"/>
    <w:rsid w:val="0066294F"/>
    <w:rsid w:val="00670105"/>
    <w:rsid w:val="006712BF"/>
    <w:rsid w:val="00672E53"/>
    <w:rsid w:val="006762C0"/>
    <w:rsid w:val="00680007"/>
    <w:rsid w:val="0068083B"/>
    <w:rsid w:val="006938D9"/>
    <w:rsid w:val="00696E3B"/>
    <w:rsid w:val="00697F0F"/>
    <w:rsid w:val="006A1345"/>
    <w:rsid w:val="006A2253"/>
    <w:rsid w:val="006A3509"/>
    <w:rsid w:val="006A365B"/>
    <w:rsid w:val="006A52BB"/>
    <w:rsid w:val="006A7D75"/>
    <w:rsid w:val="006B3B53"/>
    <w:rsid w:val="006B5687"/>
    <w:rsid w:val="006B5A03"/>
    <w:rsid w:val="006B79D3"/>
    <w:rsid w:val="006C1066"/>
    <w:rsid w:val="006C56ED"/>
    <w:rsid w:val="006C6209"/>
    <w:rsid w:val="006C64AE"/>
    <w:rsid w:val="006C7DCE"/>
    <w:rsid w:val="006D0789"/>
    <w:rsid w:val="006D07CD"/>
    <w:rsid w:val="006D24B8"/>
    <w:rsid w:val="006D3F2F"/>
    <w:rsid w:val="006D6F62"/>
    <w:rsid w:val="006E02B5"/>
    <w:rsid w:val="006E06D9"/>
    <w:rsid w:val="006E2203"/>
    <w:rsid w:val="006E5C7F"/>
    <w:rsid w:val="006E5D61"/>
    <w:rsid w:val="006E7029"/>
    <w:rsid w:val="006F0521"/>
    <w:rsid w:val="006F17DA"/>
    <w:rsid w:val="006F2927"/>
    <w:rsid w:val="006F2D68"/>
    <w:rsid w:val="006F336C"/>
    <w:rsid w:val="006F71AB"/>
    <w:rsid w:val="007060D3"/>
    <w:rsid w:val="0071289A"/>
    <w:rsid w:val="00713821"/>
    <w:rsid w:val="00714C8F"/>
    <w:rsid w:val="00715A20"/>
    <w:rsid w:val="0072445C"/>
    <w:rsid w:val="007255FF"/>
    <w:rsid w:val="0072647E"/>
    <w:rsid w:val="007264CD"/>
    <w:rsid w:val="00730ED3"/>
    <w:rsid w:val="00734640"/>
    <w:rsid w:val="00734F95"/>
    <w:rsid w:val="007379D3"/>
    <w:rsid w:val="00737A42"/>
    <w:rsid w:val="00740D24"/>
    <w:rsid w:val="00740DA1"/>
    <w:rsid w:val="007430E9"/>
    <w:rsid w:val="007438A2"/>
    <w:rsid w:val="00744152"/>
    <w:rsid w:val="00744A81"/>
    <w:rsid w:val="00745C0D"/>
    <w:rsid w:val="00746259"/>
    <w:rsid w:val="00746E23"/>
    <w:rsid w:val="00747FB9"/>
    <w:rsid w:val="00752C33"/>
    <w:rsid w:val="00752F5F"/>
    <w:rsid w:val="00753C8D"/>
    <w:rsid w:val="00754EDA"/>
    <w:rsid w:val="00755BE8"/>
    <w:rsid w:val="00755F47"/>
    <w:rsid w:val="007613F7"/>
    <w:rsid w:val="00761E1E"/>
    <w:rsid w:val="007665A0"/>
    <w:rsid w:val="00766C63"/>
    <w:rsid w:val="0077135D"/>
    <w:rsid w:val="00771864"/>
    <w:rsid w:val="0077235A"/>
    <w:rsid w:val="00772880"/>
    <w:rsid w:val="00776426"/>
    <w:rsid w:val="00780F41"/>
    <w:rsid w:val="00782FF1"/>
    <w:rsid w:val="0078583D"/>
    <w:rsid w:val="00785927"/>
    <w:rsid w:val="00790CD1"/>
    <w:rsid w:val="00791699"/>
    <w:rsid w:val="007922BA"/>
    <w:rsid w:val="00793B52"/>
    <w:rsid w:val="00793E52"/>
    <w:rsid w:val="0079659E"/>
    <w:rsid w:val="007A01B8"/>
    <w:rsid w:val="007A16E0"/>
    <w:rsid w:val="007A2D5D"/>
    <w:rsid w:val="007A3734"/>
    <w:rsid w:val="007A4525"/>
    <w:rsid w:val="007A756A"/>
    <w:rsid w:val="007B1202"/>
    <w:rsid w:val="007C1EE0"/>
    <w:rsid w:val="007C60AC"/>
    <w:rsid w:val="007C62FE"/>
    <w:rsid w:val="007C6705"/>
    <w:rsid w:val="007C6E0A"/>
    <w:rsid w:val="007C7BA8"/>
    <w:rsid w:val="007D0C48"/>
    <w:rsid w:val="007D1E8E"/>
    <w:rsid w:val="007D277B"/>
    <w:rsid w:val="007D2F00"/>
    <w:rsid w:val="007D2F5A"/>
    <w:rsid w:val="007D3570"/>
    <w:rsid w:val="007D39E8"/>
    <w:rsid w:val="007D40C4"/>
    <w:rsid w:val="007D4144"/>
    <w:rsid w:val="007D4279"/>
    <w:rsid w:val="007D6710"/>
    <w:rsid w:val="007D67E7"/>
    <w:rsid w:val="007E01F7"/>
    <w:rsid w:val="007E0430"/>
    <w:rsid w:val="007E1D08"/>
    <w:rsid w:val="007E57EE"/>
    <w:rsid w:val="007E6A31"/>
    <w:rsid w:val="007F25EB"/>
    <w:rsid w:val="0080384C"/>
    <w:rsid w:val="00806264"/>
    <w:rsid w:val="00810041"/>
    <w:rsid w:val="0081070A"/>
    <w:rsid w:val="00816D73"/>
    <w:rsid w:val="0081709B"/>
    <w:rsid w:val="00822E3B"/>
    <w:rsid w:val="008233CD"/>
    <w:rsid w:val="00823E38"/>
    <w:rsid w:val="008306CE"/>
    <w:rsid w:val="008364E1"/>
    <w:rsid w:val="00836B13"/>
    <w:rsid w:val="00840D8D"/>
    <w:rsid w:val="0084143B"/>
    <w:rsid w:val="0084286F"/>
    <w:rsid w:val="008466D7"/>
    <w:rsid w:val="008471D6"/>
    <w:rsid w:val="00853813"/>
    <w:rsid w:val="00853C88"/>
    <w:rsid w:val="00856D77"/>
    <w:rsid w:val="00860299"/>
    <w:rsid w:val="00860DCC"/>
    <w:rsid w:val="00861BAA"/>
    <w:rsid w:val="00862FD3"/>
    <w:rsid w:val="00863105"/>
    <w:rsid w:val="00870AB6"/>
    <w:rsid w:val="00876681"/>
    <w:rsid w:val="008767E4"/>
    <w:rsid w:val="008778F4"/>
    <w:rsid w:val="008811C8"/>
    <w:rsid w:val="008815E6"/>
    <w:rsid w:val="008835E5"/>
    <w:rsid w:val="00883C4E"/>
    <w:rsid w:val="00884C85"/>
    <w:rsid w:val="008861DE"/>
    <w:rsid w:val="0088781D"/>
    <w:rsid w:val="00887847"/>
    <w:rsid w:val="00887B8D"/>
    <w:rsid w:val="00892C68"/>
    <w:rsid w:val="0089341B"/>
    <w:rsid w:val="008935A6"/>
    <w:rsid w:val="00893749"/>
    <w:rsid w:val="008A4E62"/>
    <w:rsid w:val="008A72B0"/>
    <w:rsid w:val="008B0316"/>
    <w:rsid w:val="008B351A"/>
    <w:rsid w:val="008B5B61"/>
    <w:rsid w:val="008B6081"/>
    <w:rsid w:val="008B7707"/>
    <w:rsid w:val="008B799A"/>
    <w:rsid w:val="008C3D76"/>
    <w:rsid w:val="008C42B9"/>
    <w:rsid w:val="008C55B6"/>
    <w:rsid w:val="008D0A1A"/>
    <w:rsid w:val="008D1459"/>
    <w:rsid w:val="008D7595"/>
    <w:rsid w:val="008D7D34"/>
    <w:rsid w:val="008E6A43"/>
    <w:rsid w:val="008F02BC"/>
    <w:rsid w:val="008F0581"/>
    <w:rsid w:val="008F16A3"/>
    <w:rsid w:val="008F2CFD"/>
    <w:rsid w:val="008F4E33"/>
    <w:rsid w:val="008F5FFA"/>
    <w:rsid w:val="008F7F93"/>
    <w:rsid w:val="00903DC4"/>
    <w:rsid w:val="00905479"/>
    <w:rsid w:val="0091084A"/>
    <w:rsid w:val="009123FC"/>
    <w:rsid w:val="0091608F"/>
    <w:rsid w:val="009174EB"/>
    <w:rsid w:val="0092074F"/>
    <w:rsid w:val="00920C43"/>
    <w:rsid w:val="009211DD"/>
    <w:rsid w:val="009226A7"/>
    <w:rsid w:val="009300A0"/>
    <w:rsid w:val="00930506"/>
    <w:rsid w:val="0093100A"/>
    <w:rsid w:val="00931E68"/>
    <w:rsid w:val="009341BD"/>
    <w:rsid w:val="00940E13"/>
    <w:rsid w:val="00945BC6"/>
    <w:rsid w:val="0094680D"/>
    <w:rsid w:val="00947D8E"/>
    <w:rsid w:val="00947E08"/>
    <w:rsid w:val="00952FC6"/>
    <w:rsid w:val="00954A6F"/>
    <w:rsid w:val="009615B9"/>
    <w:rsid w:val="0096199A"/>
    <w:rsid w:val="00962DE8"/>
    <w:rsid w:val="00965AAC"/>
    <w:rsid w:val="009668E1"/>
    <w:rsid w:val="0097040C"/>
    <w:rsid w:val="009721B6"/>
    <w:rsid w:val="00973821"/>
    <w:rsid w:val="00975496"/>
    <w:rsid w:val="009773C6"/>
    <w:rsid w:val="00980379"/>
    <w:rsid w:val="00980D15"/>
    <w:rsid w:val="009820E7"/>
    <w:rsid w:val="00983312"/>
    <w:rsid w:val="00983DE9"/>
    <w:rsid w:val="00984287"/>
    <w:rsid w:val="00990541"/>
    <w:rsid w:val="0099348C"/>
    <w:rsid w:val="00993B76"/>
    <w:rsid w:val="009946C1"/>
    <w:rsid w:val="00995180"/>
    <w:rsid w:val="0099704D"/>
    <w:rsid w:val="009A062C"/>
    <w:rsid w:val="009A132B"/>
    <w:rsid w:val="009A2D67"/>
    <w:rsid w:val="009A3C07"/>
    <w:rsid w:val="009A51F9"/>
    <w:rsid w:val="009A68E5"/>
    <w:rsid w:val="009A757C"/>
    <w:rsid w:val="009B0CEA"/>
    <w:rsid w:val="009B1E64"/>
    <w:rsid w:val="009B27B7"/>
    <w:rsid w:val="009B53C2"/>
    <w:rsid w:val="009B5975"/>
    <w:rsid w:val="009B5B2D"/>
    <w:rsid w:val="009B5C9C"/>
    <w:rsid w:val="009D012F"/>
    <w:rsid w:val="009D0C0C"/>
    <w:rsid w:val="009D2AB1"/>
    <w:rsid w:val="009D52A9"/>
    <w:rsid w:val="009D7087"/>
    <w:rsid w:val="009D7111"/>
    <w:rsid w:val="009F0969"/>
    <w:rsid w:val="009F0E5B"/>
    <w:rsid w:val="009F2421"/>
    <w:rsid w:val="009F36F9"/>
    <w:rsid w:val="009F6C26"/>
    <w:rsid w:val="00A00AA9"/>
    <w:rsid w:val="00A1096A"/>
    <w:rsid w:val="00A10DBD"/>
    <w:rsid w:val="00A14CE3"/>
    <w:rsid w:val="00A218A5"/>
    <w:rsid w:val="00A23AFE"/>
    <w:rsid w:val="00A241A0"/>
    <w:rsid w:val="00A2561E"/>
    <w:rsid w:val="00A27235"/>
    <w:rsid w:val="00A30C91"/>
    <w:rsid w:val="00A34E8E"/>
    <w:rsid w:val="00A370C9"/>
    <w:rsid w:val="00A403AD"/>
    <w:rsid w:val="00A437F6"/>
    <w:rsid w:val="00A44D55"/>
    <w:rsid w:val="00A4529C"/>
    <w:rsid w:val="00A475B8"/>
    <w:rsid w:val="00A51ACB"/>
    <w:rsid w:val="00A51BCF"/>
    <w:rsid w:val="00A61842"/>
    <w:rsid w:val="00A62B28"/>
    <w:rsid w:val="00A71B15"/>
    <w:rsid w:val="00A763F8"/>
    <w:rsid w:val="00A768E6"/>
    <w:rsid w:val="00A8068F"/>
    <w:rsid w:val="00A83596"/>
    <w:rsid w:val="00A837F8"/>
    <w:rsid w:val="00A84603"/>
    <w:rsid w:val="00A8466B"/>
    <w:rsid w:val="00A8568D"/>
    <w:rsid w:val="00A867F9"/>
    <w:rsid w:val="00A86E66"/>
    <w:rsid w:val="00A96A38"/>
    <w:rsid w:val="00A97035"/>
    <w:rsid w:val="00AA1D9B"/>
    <w:rsid w:val="00AA1F36"/>
    <w:rsid w:val="00AA34CF"/>
    <w:rsid w:val="00AA362E"/>
    <w:rsid w:val="00AA373C"/>
    <w:rsid w:val="00AA4052"/>
    <w:rsid w:val="00AA4A6A"/>
    <w:rsid w:val="00AA500A"/>
    <w:rsid w:val="00AB0E5B"/>
    <w:rsid w:val="00AB25A2"/>
    <w:rsid w:val="00AB357A"/>
    <w:rsid w:val="00AB39DB"/>
    <w:rsid w:val="00AB48A1"/>
    <w:rsid w:val="00AB6252"/>
    <w:rsid w:val="00AC1145"/>
    <w:rsid w:val="00AC2AB1"/>
    <w:rsid w:val="00AC2B0A"/>
    <w:rsid w:val="00AC2C1C"/>
    <w:rsid w:val="00AC3C6A"/>
    <w:rsid w:val="00AC48AF"/>
    <w:rsid w:val="00AC4F76"/>
    <w:rsid w:val="00AC6242"/>
    <w:rsid w:val="00AD085F"/>
    <w:rsid w:val="00AD1EBA"/>
    <w:rsid w:val="00AD2A1E"/>
    <w:rsid w:val="00AD3C10"/>
    <w:rsid w:val="00AD5FEF"/>
    <w:rsid w:val="00AE0D4B"/>
    <w:rsid w:val="00AE2B79"/>
    <w:rsid w:val="00AE3DF7"/>
    <w:rsid w:val="00AE4FBF"/>
    <w:rsid w:val="00AE5F36"/>
    <w:rsid w:val="00AE7E83"/>
    <w:rsid w:val="00AF2F7A"/>
    <w:rsid w:val="00AF353E"/>
    <w:rsid w:val="00AF43CF"/>
    <w:rsid w:val="00AF4565"/>
    <w:rsid w:val="00AF4F1B"/>
    <w:rsid w:val="00AF5E43"/>
    <w:rsid w:val="00AF755E"/>
    <w:rsid w:val="00B033C4"/>
    <w:rsid w:val="00B16E82"/>
    <w:rsid w:val="00B16E98"/>
    <w:rsid w:val="00B170A9"/>
    <w:rsid w:val="00B17187"/>
    <w:rsid w:val="00B20C31"/>
    <w:rsid w:val="00B22EB5"/>
    <w:rsid w:val="00B23B07"/>
    <w:rsid w:val="00B246F6"/>
    <w:rsid w:val="00B2666E"/>
    <w:rsid w:val="00B30499"/>
    <w:rsid w:val="00B327EF"/>
    <w:rsid w:val="00B336DE"/>
    <w:rsid w:val="00B33E6D"/>
    <w:rsid w:val="00B35349"/>
    <w:rsid w:val="00B362E6"/>
    <w:rsid w:val="00B41EF1"/>
    <w:rsid w:val="00B42A73"/>
    <w:rsid w:val="00B42FF7"/>
    <w:rsid w:val="00B45FC7"/>
    <w:rsid w:val="00B5109C"/>
    <w:rsid w:val="00B54534"/>
    <w:rsid w:val="00B55F89"/>
    <w:rsid w:val="00B57DE0"/>
    <w:rsid w:val="00B65AEA"/>
    <w:rsid w:val="00B661A9"/>
    <w:rsid w:val="00B7036D"/>
    <w:rsid w:val="00B72D8A"/>
    <w:rsid w:val="00B72F6D"/>
    <w:rsid w:val="00B76709"/>
    <w:rsid w:val="00B80CA8"/>
    <w:rsid w:val="00B83273"/>
    <w:rsid w:val="00B86740"/>
    <w:rsid w:val="00B87475"/>
    <w:rsid w:val="00B92F2E"/>
    <w:rsid w:val="00B95911"/>
    <w:rsid w:val="00BA0DDC"/>
    <w:rsid w:val="00BA2653"/>
    <w:rsid w:val="00BA2D12"/>
    <w:rsid w:val="00BA418A"/>
    <w:rsid w:val="00BA47D0"/>
    <w:rsid w:val="00BA5498"/>
    <w:rsid w:val="00BA5509"/>
    <w:rsid w:val="00BB07DD"/>
    <w:rsid w:val="00BB0F19"/>
    <w:rsid w:val="00BB1419"/>
    <w:rsid w:val="00BB49CE"/>
    <w:rsid w:val="00BB7936"/>
    <w:rsid w:val="00BB7E36"/>
    <w:rsid w:val="00BC196A"/>
    <w:rsid w:val="00BC51A2"/>
    <w:rsid w:val="00BC64FA"/>
    <w:rsid w:val="00BC6678"/>
    <w:rsid w:val="00BD06F3"/>
    <w:rsid w:val="00BD5F04"/>
    <w:rsid w:val="00BD7D1C"/>
    <w:rsid w:val="00BE0EDE"/>
    <w:rsid w:val="00BE1F09"/>
    <w:rsid w:val="00BE65F6"/>
    <w:rsid w:val="00BE78CA"/>
    <w:rsid w:val="00BE7AB4"/>
    <w:rsid w:val="00BF0628"/>
    <w:rsid w:val="00BF06B2"/>
    <w:rsid w:val="00BF1C2B"/>
    <w:rsid w:val="00BF48C3"/>
    <w:rsid w:val="00BF639F"/>
    <w:rsid w:val="00BF7A65"/>
    <w:rsid w:val="00BF7FC0"/>
    <w:rsid w:val="00C03C0D"/>
    <w:rsid w:val="00C11136"/>
    <w:rsid w:val="00C12FB4"/>
    <w:rsid w:val="00C13C62"/>
    <w:rsid w:val="00C142F0"/>
    <w:rsid w:val="00C20886"/>
    <w:rsid w:val="00C23715"/>
    <w:rsid w:val="00C30CF5"/>
    <w:rsid w:val="00C31477"/>
    <w:rsid w:val="00C31CAE"/>
    <w:rsid w:val="00C31E60"/>
    <w:rsid w:val="00C32F45"/>
    <w:rsid w:val="00C34C18"/>
    <w:rsid w:val="00C35194"/>
    <w:rsid w:val="00C35F1F"/>
    <w:rsid w:val="00C36C6F"/>
    <w:rsid w:val="00C37F8F"/>
    <w:rsid w:val="00C402E8"/>
    <w:rsid w:val="00C4472E"/>
    <w:rsid w:val="00C451E8"/>
    <w:rsid w:val="00C455F5"/>
    <w:rsid w:val="00C45B63"/>
    <w:rsid w:val="00C465D0"/>
    <w:rsid w:val="00C474B1"/>
    <w:rsid w:val="00C47B41"/>
    <w:rsid w:val="00C5018F"/>
    <w:rsid w:val="00C51515"/>
    <w:rsid w:val="00C5186F"/>
    <w:rsid w:val="00C546C1"/>
    <w:rsid w:val="00C54FDF"/>
    <w:rsid w:val="00C57D34"/>
    <w:rsid w:val="00C607A3"/>
    <w:rsid w:val="00C6342C"/>
    <w:rsid w:val="00C679E0"/>
    <w:rsid w:val="00C7087B"/>
    <w:rsid w:val="00C71F41"/>
    <w:rsid w:val="00C8550D"/>
    <w:rsid w:val="00C877E3"/>
    <w:rsid w:val="00C91F72"/>
    <w:rsid w:val="00C935DB"/>
    <w:rsid w:val="00C95287"/>
    <w:rsid w:val="00CA4F57"/>
    <w:rsid w:val="00CA6364"/>
    <w:rsid w:val="00CA72D1"/>
    <w:rsid w:val="00CA75D6"/>
    <w:rsid w:val="00CB22ED"/>
    <w:rsid w:val="00CB2B54"/>
    <w:rsid w:val="00CB38B3"/>
    <w:rsid w:val="00CB42AB"/>
    <w:rsid w:val="00CC05B3"/>
    <w:rsid w:val="00CC0612"/>
    <w:rsid w:val="00CC066F"/>
    <w:rsid w:val="00CC1F5D"/>
    <w:rsid w:val="00CC3F22"/>
    <w:rsid w:val="00CC7FFA"/>
    <w:rsid w:val="00CD03BF"/>
    <w:rsid w:val="00CD4E0C"/>
    <w:rsid w:val="00CD5980"/>
    <w:rsid w:val="00CD6998"/>
    <w:rsid w:val="00CD70AF"/>
    <w:rsid w:val="00CD789C"/>
    <w:rsid w:val="00CE2477"/>
    <w:rsid w:val="00CE257A"/>
    <w:rsid w:val="00CE4580"/>
    <w:rsid w:val="00CE4DDD"/>
    <w:rsid w:val="00CE67BB"/>
    <w:rsid w:val="00CE715A"/>
    <w:rsid w:val="00CF2505"/>
    <w:rsid w:val="00CF3FFE"/>
    <w:rsid w:val="00CF40FB"/>
    <w:rsid w:val="00CF752F"/>
    <w:rsid w:val="00D01815"/>
    <w:rsid w:val="00D01C28"/>
    <w:rsid w:val="00D0304C"/>
    <w:rsid w:val="00D04710"/>
    <w:rsid w:val="00D05890"/>
    <w:rsid w:val="00D103CF"/>
    <w:rsid w:val="00D12784"/>
    <w:rsid w:val="00D157AA"/>
    <w:rsid w:val="00D220CB"/>
    <w:rsid w:val="00D221EA"/>
    <w:rsid w:val="00D22E39"/>
    <w:rsid w:val="00D247ED"/>
    <w:rsid w:val="00D30ABF"/>
    <w:rsid w:val="00D30FA6"/>
    <w:rsid w:val="00D31401"/>
    <w:rsid w:val="00D35383"/>
    <w:rsid w:val="00D365D3"/>
    <w:rsid w:val="00D36855"/>
    <w:rsid w:val="00D408DB"/>
    <w:rsid w:val="00D421E5"/>
    <w:rsid w:val="00D42F2B"/>
    <w:rsid w:val="00D50495"/>
    <w:rsid w:val="00D5325D"/>
    <w:rsid w:val="00D544A6"/>
    <w:rsid w:val="00D54630"/>
    <w:rsid w:val="00D55853"/>
    <w:rsid w:val="00D56490"/>
    <w:rsid w:val="00D605EE"/>
    <w:rsid w:val="00D61BD1"/>
    <w:rsid w:val="00D665BC"/>
    <w:rsid w:val="00D66D92"/>
    <w:rsid w:val="00D7262F"/>
    <w:rsid w:val="00D7524A"/>
    <w:rsid w:val="00D76CC7"/>
    <w:rsid w:val="00D770D0"/>
    <w:rsid w:val="00D779F4"/>
    <w:rsid w:val="00D77E3A"/>
    <w:rsid w:val="00D80039"/>
    <w:rsid w:val="00D80D14"/>
    <w:rsid w:val="00D8170E"/>
    <w:rsid w:val="00D81CDE"/>
    <w:rsid w:val="00D82041"/>
    <w:rsid w:val="00D8326C"/>
    <w:rsid w:val="00D86546"/>
    <w:rsid w:val="00D872E1"/>
    <w:rsid w:val="00D87771"/>
    <w:rsid w:val="00D9291B"/>
    <w:rsid w:val="00D93FB3"/>
    <w:rsid w:val="00D9785D"/>
    <w:rsid w:val="00DA228B"/>
    <w:rsid w:val="00DA6676"/>
    <w:rsid w:val="00DA7579"/>
    <w:rsid w:val="00DB1F71"/>
    <w:rsid w:val="00DB45CF"/>
    <w:rsid w:val="00DB4A02"/>
    <w:rsid w:val="00DC0032"/>
    <w:rsid w:val="00DD0B79"/>
    <w:rsid w:val="00DD50EC"/>
    <w:rsid w:val="00DD5F5A"/>
    <w:rsid w:val="00DE2AFC"/>
    <w:rsid w:val="00DE4071"/>
    <w:rsid w:val="00DE50D6"/>
    <w:rsid w:val="00DF3ED5"/>
    <w:rsid w:val="00DF6918"/>
    <w:rsid w:val="00DF746A"/>
    <w:rsid w:val="00DF74C5"/>
    <w:rsid w:val="00E02558"/>
    <w:rsid w:val="00E026FC"/>
    <w:rsid w:val="00E028CB"/>
    <w:rsid w:val="00E02D0E"/>
    <w:rsid w:val="00E05211"/>
    <w:rsid w:val="00E10DBC"/>
    <w:rsid w:val="00E147DE"/>
    <w:rsid w:val="00E150C7"/>
    <w:rsid w:val="00E16B42"/>
    <w:rsid w:val="00E17612"/>
    <w:rsid w:val="00E21C1F"/>
    <w:rsid w:val="00E239B1"/>
    <w:rsid w:val="00E275D9"/>
    <w:rsid w:val="00E30A55"/>
    <w:rsid w:val="00E330D7"/>
    <w:rsid w:val="00E351F6"/>
    <w:rsid w:val="00E4213C"/>
    <w:rsid w:val="00E4779D"/>
    <w:rsid w:val="00E53BFD"/>
    <w:rsid w:val="00E569E7"/>
    <w:rsid w:val="00E56C39"/>
    <w:rsid w:val="00E56EE3"/>
    <w:rsid w:val="00E574AE"/>
    <w:rsid w:val="00E60380"/>
    <w:rsid w:val="00E62370"/>
    <w:rsid w:val="00E626B6"/>
    <w:rsid w:val="00E62BE8"/>
    <w:rsid w:val="00E62FC6"/>
    <w:rsid w:val="00E63AC1"/>
    <w:rsid w:val="00E70495"/>
    <w:rsid w:val="00E72737"/>
    <w:rsid w:val="00E7527C"/>
    <w:rsid w:val="00E75E35"/>
    <w:rsid w:val="00E77B4C"/>
    <w:rsid w:val="00E80F49"/>
    <w:rsid w:val="00E82123"/>
    <w:rsid w:val="00E8372B"/>
    <w:rsid w:val="00E8642A"/>
    <w:rsid w:val="00E86B7F"/>
    <w:rsid w:val="00E90432"/>
    <w:rsid w:val="00E920DB"/>
    <w:rsid w:val="00E9230B"/>
    <w:rsid w:val="00E92579"/>
    <w:rsid w:val="00E931A1"/>
    <w:rsid w:val="00E9636E"/>
    <w:rsid w:val="00E978C8"/>
    <w:rsid w:val="00E97F02"/>
    <w:rsid w:val="00EA0F80"/>
    <w:rsid w:val="00EA1A10"/>
    <w:rsid w:val="00EA6B4C"/>
    <w:rsid w:val="00EB328B"/>
    <w:rsid w:val="00EB438B"/>
    <w:rsid w:val="00EB5B5A"/>
    <w:rsid w:val="00EB705C"/>
    <w:rsid w:val="00EC3CD6"/>
    <w:rsid w:val="00EC46EA"/>
    <w:rsid w:val="00EC4E23"/>
    <w:rsid w:val="00EC5CFC"/>
    <w:rsid w:val="00ED436F"/>
    <w:rsid w:val="00ED4604"/>
    <w:rsid w:val="00ED6E0E"/>
    <w:rsid w:val="00ED738C"/>
    <w:rsid w:val="00ED746D"/>
    <w:rsid w:val="00EE2128"/>
    <w:rsid w:val="00EE260E"/>
    <w:rsid w:val="00EE59F2"/>
    <w:rsid w:val="00EE5C9A"/>
    <w:rsid w:val="00EE68EF"/>
    <w:rsid w:val="00EF0F24"/>
    <w:rsid w:val="00EF2884"/>
    <w:rsid w:val="00EF2B1A"/>
    <w:rsid w:val="00EF595B"/>
    <w:rsid w:val="00F00AB7"/>
    <w:rsid w:val="00F0117F"/>
    <w:rsid w:val="00F02D75"/>
    <w:rsid w:val="00F04F83"/>
    <w:rsid w:val="00F04FC6"/>
    <w:rsid w:val="00F0535F"/>
    <w:rsid w:val="00F06D75"/>
    <w:rsid w:val="00F104BD"/>
    <w:rsid w:val="00F1290A"/>
    <w:rsid w:val="00F12DCA"/>
    <w:rsid w:val="00F1437E"/>
    <w:rsid w:val="00F2182E"/>
    <w:rsid w:val="00F22533"/>
    <w:rsid w:val="00F24BD9"/>
    <w:rsid w:val="00F261B0"/>
    <w:rsid w:val="00F26C01"/>
    <w:rsid w:val="00F32EC7"/>
    <w:rsid w:val="00F35381"/>
    <w:rsid w:val="00F37049"/>
    <w:rsid w:val="00F408A0"/>
    <w:rsid w:val="00F47A5B"/>
    <w:rsid w:val="00F515CC"/>
    <w:rsid w:val="00F51AEB"/>
    <w:rsid w:val="00F51BD4"/>
    <w:rsid w:val="00F538CC"/>
    <w:rsid w:val="00F56A2E"/>
    <w:rsid w:val="00F60D82"/>
    <w:rsid w:val="00F64D92"/>
    <w:rsid w:val="00F64F7B"/>
    <w:rsid w:val="00F670D6"/>
    <w:rsid w:val="00F71CE7"/>
    <w:rsid w:val="00F71DA9"/>
    <w:rsid w:val="00F71FF1"/>
    <w:rsid w:val="00F726AB"/>
    <w:rsid w:val="00F73FFF"/>
    <w:rsid w:val="00F74108"/>
    <w:rsid w:val="00F743A2"/>
    <w:rsid w:val="00F779CD"/>
    <w:rsid w:val="00F8194F"/>
    <w:rsid w:val="00F833BB"/>
    <w:rsid w:val="00F84B80"/>
    <w:rsid w:val="00F853A2"/>
    <w:rsid w:val="00F86870"/>
    <w:rsid w:val="00F92370"/>
    <w:rsid w:val="00F9306D"/>
    <w:rsid w:val="00F96692"/>
    <w:rsid w:val="00FA1085"/>
    <w:rsid w:val="00FA1CBC"/>
    <w:rsid w:val="00FA2894"/>
    <w:rsid w:val="00FA47E6"/>
    <w:rsid w:val="00FA5438"/>
    <w:rsid w:val="00FB0792"/>
    <w:rsid w:val="00FB21C1"/>
    <w:rsid w:val="00FB4C60"/>
    <w:rsid w:val="00FB62F5"/>
    <w:rsid w:val="00FB633C"/>
    <w:rsid w:val="00FB757C"/>
    <w:rsid w:val="00FC1E6D"/>
    <w:rsid w:val="00FC343C"/>
    <w:rsid w:val="00FC385F"/>
    <w:rsid w:val="00FC42E2"/>
    <w:rsid w:val="00FC6D54"/>
    <w:rsid w:val="00FC754F"/>
    <w:rsid w:val="00FD274D"/>
    <w:rsid w:val="00FD5416"/>
    <w:rsid w:val="00FD6B7C"/>
    <w:rsid w:val="00FD6F6A"/>
    <w:rsid w:val="00FE058C"/>
    <w:rsid w:val="00FE10C4"/>
    <w:rsid w:val="00FE2A26"/>
    <w:rsid w:val="00FE2D7C"/>
    <w:rsid w:val="00FF033A"/>
    <w:rsid w:val="00FF11E9"/>
    <w:rsid w:val="00FF158F"/>
    <w:rsid w:val="00FF33B0"/>
    <w:rsid w:val="00FF6D26"/>
    <w:rsid w:val="00FF7E86"/>
    <w:rsid w:val="0136732D"/>
    <w:rsid w:val="016C2D4F"/>
    <w:rsid w:val="01A249C3"/>
    <w:rsid w:val="01BB5DC4"/>
    <w:rsid w:val="020224D7"/>
    <w:rsid w:val="020B07BA"/>
    <w:rsid w:val="02515FCF"/>
    <w:rsid w:val="030F6088"/>
    <w:rsid w:val="0354008E"/>
    <w:rsid w:val="035B12CD"/>
    <w:rsid w:val="04545D1C"/>
    <w:rsid w:val="053718C6"/>
    <w:rsid w:val="061E65E2"/>
    <w:rsid w:val="06691F53"/>
    <w:rsid w:val="066C37F1"/>
    <w:rsid w:val="06896151"/>
    <w:rsid w:val="07697D31"/>
    <w:rsid w:val="07723089"/>
    <w:rsid w:val="07C03DF5"/>
    <w:rsid w:val="08243D6D"/>
    <w:rsid w:val="08406CE4"/>
    <w:rsid w:val="08730E67"/>
    <w:rsid w:val="087A387F"/>
    <w:rsid w:val="093A7BD7"/>
    <w:rsid w:val="09707F16"/>
    <w:rsid w:val="09B259BF"/>
    <w:rsid w:val="0A2E1F18"/>
    <w:rsid w:val="0A6A0048"/>
    <w:rsid w:val="0AAF1A1C"/>
    <w:rsid w:val="0ADB7197"/>
    <w:rsid w:val="0B266665"/>
    <w:rsid w:val="0B4E6DAF"/>
    <w:rsid w:val="0BAE0408"/>
    <w:rsid w:val="0C643652"/>
    <w:rsid w:val="0D735465"/>
    <w:rsid w:val="0DDD0978"/>
    <w:rsid w:val="0E1E3623"/>
    <w:rsid w:val="0E56100F"/>
    <w:rsid w:val="0EFA63BC"/>
    <w:rsid w:val="0FB6386B"/>
    <w:rsid w:val="10564E36"/>
    <w:rsid w:val="107C0AD5"/>
    <w:rsid w:val="11591036"/>
    <w:rsid w:val="116E6670"/>
    <w:rsid w:val="12AF41F6"/>
    <w:rsid w:val="12B04A66"/>
    <w:rsid w:val="13023513"/>
    <w:rsid w:val="130354DD"/>
    <w:rsid w:val="13960100"/>
    <w:rsid w:val="14575AE1"/>
    <w:rsid w:val="145E6E6F"/>
    <w:rsid w:val="14D00E9D"/>
    <w:rsid w:val="14E82BDD"/>
    <w:rsid w:val="15455A37"/>
    <w:rsid w:val="1546449C"/>
    <w:rsid w:val="1606156C"/>
    <w:rsid w:val="16A55FBE"/>
    <w:rsid w:val="16F15AF0"/>
    <w:rsid w:val="17A27073"/>
    <w:rsid w:val="17B9616B"/>
    <w:rsid w:val="17C0574B"/>
    <w:rsid w:val="17DD00AB"/>
    <w:rsid w:val="17FE2F18"/>
    <w:rsid w:val="182A7068"/>
    <w:rsid w:val="184323A2"/>
    <w:rsid w:val="185F6D12"/>
    <w:rsid w:val="18BF5A03"/>
    <w:rsid w:val="18E67433"/>
    <w:rsid w:val="19E27BFB"/>
    <w:rsid w:val="1B9C202B"/>
    <w:rsid w:val="1C3D380E"/>
    <w:rsid w:val="1C5A3C6A"/>
    <w:rsid w:val="1CA218C3"/>
    <w:rsid w:val="1CF001B8"/>
    <w:rsid w:val="1DAB2047"/>
    <w:rsid w:val="1DB16262"/>
    <w:rsid w:val="1DBC69B5"/>
    <w:rsid w:val="1E6765A8"/>
    <w:rsid w:val="1EAE27A1"/>
    <w:rsid w:val="1EB1403F"/>
    <w:rsid w:val="1EBD29E4"/>
    <w:rsid w:val="1EF63FF8"/>
    <w:rsid w:val="1EF81C6E"/>
    <w:rsid w:val="1F040613"/>
    <w:rsid w:val="1F1F544D"/>
    <w:rsid w:val="1F244811"/>
    <w:rsid w:val="1F4C1FF1"/>
    <w:rsid w:val="1F884DA0"/>
    <w:rsid w:val="1FA94D17"/>
    <w:rsid w:val="1FD46237"/>
    <w:rsid w:val="20210D51"/>
    <w:rsid w:val="2062475D"/>
    <w:rsid w:val="20F621DE"/>
    <w:rsid w:val="215C25EF"/>
    <w:rsid w:val="21843C8D"/>
    <w:rsid w:val="219739C1"/>
    <w:rsid w:val="219914E7"/>
    <w:rsid w:val="21B300CF"/>
    <w:rsid w:val="21B7196D"/>
    <w:rsid w:val="21D02A2F"/>
    <w:rsid w:val="21F66939"/>
    <w:rsid w:val="22A4003B"/>
    <w:rsid w:val="22EF6456"/>
    <w:rsid w:val="23143FB6"/>
    <w:rsid w:val="23403BE4"/>
    <w:rsid w:val="234A05BF"/>
    <w:rsid w:val="23627FFE"/>
    <w:rsid w:val="237C4C1C"/>
    <w:rsid w:val="23B1063E"/>
    <w:rsid w:val="242F6132"/>
    <w:rsid w:val="243C084F"/>
    <w:rsid w:val="24951970"/>
    <w:rsid w:val="255D0BB3"/>
    <w:rsid w:val="26597496"/>
    <w:rsid w:val="26636F19"/>
    <w:rsid w:val="26667E05"/>
    <w:rsid w:val="27FC457D"/>
    <w:rsid w:val="28A075FF"/>
    <w:rsid w:val="28CA642A"/>
    <w:rsid w:val="28FE2577"/>
    <w:rsid w:val="29543F45"/>
    <w:rsid w:val="29555172"/>
    <w:rsid w:val="295E4DC4"/>
    <w:rsid w:val="29FA689B"/>
    <w:rsid w:val="2A314286"/>
    <w:rsid w:val="2A5F2BA2"/>
    <w:rsid w:val="2A6B7798"/>
    <w:rsid w:val="2AB253C7"/>
    <w:rsid w:val="2AEA2DB3"/>
    <w:rsid w:val="2B797C93"/>
    <w:rsid w:val="2C332538"/>
    <w:rsid w:val="2C695F59"/>
    <w:rsid w:val="2C9A4365"/>
    <w:rsid w:val="2CA86A82"/>
    <w:rsid w:val="2D1265F1"/>
    <w:rsid w:val="2DC84F02"/>
    <w:rsid w:val="2E0777D8"/>
    <w:rsid w:val="2F3F2C19"/>
    <w:rsid w:val="2F750811"/>
    <w:rsid w:val="30201025"/>
    <w:rsid w:val="309B06AC"/>
    <w:rsid w:val="30B75796"/>
    <w:rsid w:val="30C220DC"/>
    <w:rsid w:val="31234E8D"/>
    <w:rsid w:val="31540F86"/>
    <w:rsid w:val="315A40C3"/>
    <w:rsid w:val="31707702"/>
    <w:rsid w:val="31B859B9"/>
    <w:rsid w:val="324059AE"/>
    <w:rsid w:val="32413DA7"/>
    <w:rsid w:val="32C75788"/>
    <w:rsid w:val="32D0288E"/>
    <w:rsid w:val="33C57F19"/>
    <w:rsid w:val="349472FB"/>
    <w:rsid w:val="34AF0316"/>
    <w:rsid w:val="34E97097"/>
    <w:rsid w:val="35AF70D3"/>
    <w:rsid w:val="35E054DE"/>
    <w:rsid w:val="35EB79DF"/>
    <w:rsid w:val="360311CD"/>
    <w:rsid w:val="36356EAC"/>
    <w:rsid w:val="366F23BE"/>
    <w:rsid w:val="36B3004F"/>
    <w:rsid w:val="36E702A3"/>
    <w:rsid w:val="37164F30"/>
    <w:rsid w:val="37A75B88"/>
    <w:rsid w:val="37BF2ED1"/>
    <w:rsid w:val="37C624B2"/>
    <w:rsid w:val="37D8098E"/>
    <w:rsid w:val="381B27FE"/>
    <w:rsid w:val="381C47C8"/>
    <w:rsid w:val="38591578"/>
    <w:rsid w:val="38C74734"/>
    <w:rsid w:val="38CF183A"/>
    <w:rsid w:val="38FE5C7B"/>
    <w:rsid w:val="394F0285"/>
    <w:rsid w:val="395D33E0"/>
    <w:rsid w:val="39C944DB"/>
    <w:rsid w:val="39DF5AAD"/>
    <w:rsid w:val="39F5707E"/>
    <w:rsid w:val="3A83468A"/>
    <w:rsid w:val="3A8F1281"/>
    <w:rsid w:val="3B1479D8"/>
    <w:rsid w:val="3BE36186"/>
    <w:rsid w:val="3C2D6FA3"/>
    <w:rsid w:val="3C6B7ACC"/>
    <w:rsid w:val="3C8534DB"/>
    <w:rsid w:val="3CB054DF"/>
    <w:rsid w:val="3D0A2E41"/>
    <w:rsid w:val="3D204412"/>
    <w:rsid w:val="3E420D1E"/>
    <w:rsid w:val="3EB95F64"/>
    <w:rsid w:val="3F172290"/>
    <w:rsid w:val="3F6A5E19"/>
    <w:rsid w:val="3FF322B2"/>
    <w:rsid w:val="400C0EBB"/>
    <w:rsid w:val="4013025E"/>
    <w:rsid w:val="402257BC"/>
    <w:rsid w:val="409A0980"/>
    <w:rsid w:val="41D13F2D"/>
    <w:rsid w:val="41EA25DB"/>
    <w:rsid w:val="42321EFA"/>
    <w:rsid w:val="424E37B2"/>
    <w:rsid w:val="427A51C3"/>
    <w:rsid w:val="42876CE2"/>
    <w:rsid w:val="42AE24C0"/>
    <w:rsid w:val="43386F43"/>
    <w:rsid w:val="434075BC"/>
    <w:rsid w:val="43AD2778"/>
    <w:rsid w:val="43D441A9"/>
    <w:rsid w:val="43DE0B83"/>
    <w:rsid w:val="441B3B85"/>
    <w:rsid w:val="44377473"/>
    <w:rsid w:val="443D58AA"/>
    <w:rsid w:val="447D039C"/>
    <w:rsid w:val="448259B3"/>
    <w:rsid w:val="448B118D"/>
    <w:rsid w:val="44AB666E"/>
    <w:rsid w:val="44D0661A"/>
    <w:rsid w:val="44E80FE1"/>
    <w:rsid w:val="44F7490B"/>
    <w:rsid w:val="45DF6BAF"/>
    <w:rsid w:val="461915B6"/>
    <w:rsid w:val="46250CEB"/>
    <w:rsid w:val="463E3B5B"/>
    <w:rsid w:val="468F4EA6"/>
    <w:rsid w:val="47356D0C"/>
    <w:rsid w:val="478657BA"/>
    <w:rsid w:val="47AC615E"/>
    <w:rsid w:val="47E349BA"/>
    <w:rsid w:val="481800DE"/>
    <w:rsid w:val="482254E2"/>
    <w:rsid w:val="48CD4FB9"/>
    <w:rsid w:val="48F70572"/>
    <w:rsid w:val="490B5F77"/>
    <w:rsid w:val="49273FBB"/>
    <w:rsid w:val="495042D1"/>
    <w:rsid w:val="4953791E"/>
    <w:rsid w:val="499C7517"/>
    <w:rsid w:val="49AE449B"/>
    <w:rsid w:val="4A946440"/>
    <w:rsid w:val="4A9670E6"/>
    <w:rsid w:val="4B0B57E5"/>
    <w:rsid w:val="4B3E0F0B"/>
    <w:rsid w:val="4B863FDA"/>
    <w:rsid w:val="4BFA22D2"/>
    <w:rsid w:val="4C16022B"/>
    <w:rsid w:val="4CB44B77"/>
    <w:rsid w:val="4CF33F12"/>
    <w:rsid w:val="4D0538BE"/>
    <w:rsid w:val="4D1B0752"/>
    <w:rsid w:val="4D44414D"/>
    <w:rsid w:val="4D684D62"/>
    <w:rsid w:val="4E606D65"/>
    <w:rsid w:val="4E9D1D67"/>
    <w:rsid w:val="4ECC61A8"/>
    <w:rsid w:val="4F1E452A"/>
    <w:rsid w:val="4F493C9D"/>
    <w:rsid w:val="4F7F76BE"/>
    <w:rsid w:val="4FF37764"/>
    <w:rsid w:val="50130C0F"/>
    <w:rsid w:val="504A59B1"/>
    <w:rsid w:val="5121374D"/>
    <w:rsid w:val="51361FFF"/>
    <w:rsid w:val="515C2E14"/>
    <w:rsid w:val="5187285A"/>
    <w:rsid w:val="52085A70"/>
    <w:rsid w:val="53035F10"/>
    <w:rsid w:val="534F1156"/>
    <w:rsid w:val="538232D9"/>
    <w:rsid w:val="53AE0572"/>
    <w:rsid w:val="53DF072C"/>
    <w:rsid w:val="548F7932"/>
    <w:rsid w:val="54A75B5F"/>
    <w:rsid w:val="54A86D6F"/>
    <w:rsid w:val="54B537E9"/>
    <w:rsid w:val="55006BAB"/>
    <w:rsid w:val="551C775D"/>
    <w:rsid w:val="55567D78"/>
    <w:rsid w:val="55930C70"/>
    <w:rsid w:val="55AA6B17"/>
    <w:rsid w:val="5698789F"/>
    <w:rsid w:val="56BC4D54"/>
    <w:rsid w:val="575B456D"/>
    <w:rsid w:val="5762640A"/>
    <w:rsid w:val="576D24F2"/>
    <w:rsid w:val="57BE0E7B"/>
    <w:rsid w:val="58371D6F"/>
    <w:rsid w:val="58501BF8"/>
    <w:rsid w:val="587A5D27"/>
    <w:rsid w:val="58847AF3"/>
    <w:rsid w:val="58906498"/>
    <w:rsid w:val="58CD3EEB"/>
    <w:rsid w:val="58EB5757"/>
    <w:rsid w:val="58EF7663"/>
    <w:rsid w:val="590B38DF"/>
    <w:rsid w:val="598A738C"/>
    <w:rsid w:val="59B85CA7"/>
    <w:rsid w:val="59D93E6F"/>
    <w:rsid w:val="5A461504"/>
    <w:rsid w:val="5AE60011"/>
    <w:rsid w:val="5B5E462C"/>
    <w:rsid w:val="5B6A1223"/>
    <w:rsid w:val="5BE3522D"/>
    <w:rsid w:val="5C2869E8"/>
    <w:rsid w:val="5C8A3266"/>
    <w:rsid w:val="5C9B365E"/>
    <w:rsid w:val="5DD60DF1"/>
    <w:rsid w:val="5E563CE0"/>
    <w:rsid w:val="5F5521EA"/>
    <w:rsid w:val="5FC86518"/>
    <w:rsid w:val="5FCD7FD2"/>
    <w:rsid w:val="603E2C7E"/>
    <w:rsid w:val="60C05441"/>
    <w:rsid w:val="610572F8"/>
    <w:rsid w:val="612B3202"/>
    <w:rsid w:val="617F65DF"/>
    <w:rsid w:val="61FC694D"/>
    <w:rsid w:val="61FD5D7B"/>
    <w:rsid w:val="6212188F"/>
    <w:rsid w:val="622F6D22"/>
    <w:rsid w:val="62302A4E"/>
    <w:rsid w:val="62600C89"/>
    <w:rsid w:val="62A3703C"/>
    <w:rsid w:val="62F83E0A"/>
    <w:rsid w:val="63B62F7D"/>
    <w:rsid w:val="63F55D49"/>
    <w:rsid w:val="646627A3"/>
    <w:rsid w:val="64B61D6A"/>
    <w:rsid w:val="64DD6EFC"/>
    <w:rsid w:val="64E33DF4"/>
    <w:rsid w:val="65493C57"/>
    <w:rsid w:val="655E25AC"/>
    <w:rsid w:val="65C9123C"/>
    <w:rsid w:val="660D1128"/>
    <w:rsid w:val="66212E26"/>
    <w:rsid w:val="663E5786"/>
    <w:rsid w:val="6641625F"/>
    <w:rsid w:val="665A5DC5"/>
    <w:rsid w:val="667D10C4"/>
    <w:rsid w:val="67204E8B"/>
    <w:rsid w:val="67404438"/>
    <w:rsid w:val="677D408C"/>
    <w:rsid w:val="67844B3C"/>
    <w:rsid w:val="67CE48E7"/>
    <w:rsid w:val="67FB3202"/>
    <w:rsid w:val="68635FA4"/>
    <w:rsid w:val="68BD55B4"/>
    <w:rsid w:val="68F13662"/>
    <w:rsid w:val="691E3642"/>
    <w:rsid w:val="69256789"/>
    <w:rsid w:val="696F5C56"/>
    <w:rsid w:val="69B813AB"/>
    <w:rsid w:val="6A024789"/>
    <w:rsid w:val="6A1F3DBC"/>
    <w:rsid w:val="6A303173"/>
    <w:rsid w:val="6A8E035E"/>
    <w:rsid w:val="6A955B90"/>
    <w:rsid w:val="6B916358"/>
    <w:rsid w:val="6C5C4BB7"/>
    <w:rsid w:val="6C6677E4"/>
    <w:rsid w:val="6CF23D24"/>
    <w:rsid w:val="6D53124D"/>
    <w:rsid w:val="6D8A5754"/>
    <w:rsid w:val="6EC32CCC"/>
    <w:rsid w:val="6FBD3BBF"/>
    <w:rsid w:val="703674CE"/>
    <w:rsid w:val="71267542"/>
    <w:rsid w:val="7151354E"/>
    <w:rsid w:val="71C254BD"/>
    <w:rsid w:val="71DD22F7"/>
    <w:rsid w:val="720F7FD6"/>
    <w:rsid w:val="72A2709C"/>
    <w:rsid w:val="738A025C"/>
    <w:rsid w:val="73B70925"/>
    <w:rsid w:val="73B726D3"/>
    <w:rsid w:val="73E831D5"/>
    <w:rsid w:val="73FF5520"/>
    <w:rsid w:val="74BB2B9B"/>
    <w:rsid w:val="74D30328"/>
    <w:rsid w:val="75EE05B1"/>
    <w:rsid w:val="75F96FD3"/>
    <w:rsid w:val="761958C7"/>
    <w:rsid w:val="76300D75"/>
    <w:rsid w:val="766C4F49"/>
    <w:rsid w:val="769B008A"/>
    <w:rsid w:val="76A978EF"/>
    <w:rsid w:val="77DF5A8B"/>
    <w:rsid w:val="78CE7F55"/>
    <w:rsid w:val="78E83D36"/>
    <w:rsid w:val="79ED53F5"/>
    <w:rsid w:val="7A28251C"/>
    <w:rsid w:val="7A3F07D9"/>
    <w:rsid w:val="7A4D3D91"/>
    <w:rsid w:val="7A6D4434"/>
    <w:rsid w:val="7AF92D68"/>
    <w:rsid w:val="7B362A78"/>
    <w:rsid w:val="7B3D06D4"/>
    <w:rsid w:val="7C013085"/>
    <w:rsid w:val="7C3F595C"/>
    <w:rsid w:val="7D1110A6"/>
    <w:rsid w:val="7DF23787"/>
    <w:rsid w:val="7E270891"/>
    <w:rsid w:val="7E5C27F5"/>
    <w:rsid w:val="7E7E1043"/>
    <w:rsid w:val="7E81400A"/>
    <w:rsid w:val="7EA81A91"/>
    <w:rsid w:val="7EE7C398"/>
    <w:rsid w:val="7EF053B6"/>
    <w:rsid w:val="7F166E48"/>
    <w:rsid w:val="7F301185"/>
    <w:rsid w:val="7F5931D8"/>
    <w:rsid w:val="7F6851CA"/>
    <w:rsid w:val="86FEE9C5"/>
    <w:rsid w:val="FFAE5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kern w:val="44"/>
      <w:sz w:val="32"/>
      <w:szCs w:val="20"/>
    </w:rPr>
  </w:style>
  <w:style w:type="paragraph" w:styleId="4">
    <w:name w:val="heading 2"/>
    <w:basedOn w:val="1"/>
    <w:next w:val="1"/>
    <w:qFormat/>
    <w:uiPriority w:val="0"/>
    <w:pPr>
      <w:keepNext/>
      <w:keepLines/>
      <w:numPr>
        <w:ilvl w:val="1"/>
        <w:numId w:val="1"/>
      </w:numPr>
      <w:adjustRightInd w:val="0"/>
      <w:spacing w:before="260" w:after="260" w:line="416" w:lineRule="atLeast"/>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outlineLvl w:val="2"/>
    </w:pPr>
    <w:rPr>
      <w:rFonts w:eastAsia="Arial Unicode MS"/>
      <w:b/>
      <w:kern w:val="0"/>
      <w:sz w:val="32"/>
      <w:szCs w:val="20"/>
    </w:rPr>
  </w:style>
  <w:style w:type="paragraph" w:styleId="6">
    <w:name w:val="heading 4"/>
    <w:basedOn w:val="1"/>
    <w:next w:val="1"/>
    <w:qFormat/>
    <w:uiPriority w:val="0"/>
    <w:pPr>
      <w:keepNext/>
      <w:keepLines/>
      <w:numPr>
        <w:ilvl w:val="3"/>
        <w:numId w:val="1"/>
      </w:numPr>
      <w:adjustRightInd w:val="0"/>
      <w:spacing w:before="280" w:after="290" w:line="376" w:lineRule="atLeast"/>
      <w:outlineLvl w:val="3"/>
    </w:pPr>
    <w:rPr>
      <w:rFonts w:ascii="Arial" w:hAnsi="Arial" w:eastAsia="黑体"/>
      <w:b/>
      <w:kern w:val="0"/>
      <w:sz w:val="28"/>
      <w:szCs w:val="20"/>
    </w:rPr>
  </w:style>
  <w:style w:type="paragraph" w:styleId="7">
    <w:name w:val="heading 5"/>
    <w:basedOn w:val="1"/>
    <w:next w:val="1"/>
    <w:qFormat/>
    <w:uiPriority w:val="0"/>
    <w:pPr>
      <w:keepNext/>
      <w:keepLines/>
      <w:numPr>
        <w:ilvl w:val="4"/>
        <w:numId w:val="1"/>
      </w:numPr>
      <w:adjustRightInd w:val="0"/>
      <w:spacing w:before="280" w:after="290" w:line="376" w:lineRule="atLeast"/>
      <w:outlineLvl w:val="4"/>
    </w:pPr>
    <w:rPr>
      <w:rFonts w:eastAsia="Arial Unicode MS"/>
      <w:b/>
      <w:kern w:val="0"/>
      <w:sz w:val="28"/>
      <w:szCs w:val="20"/>
    </w:rPr>
  </w:style>
  <w:style w:type="paragraph" w:styleId="8">
    <w:name w:val="heading 6"/>
    <w:basedOn w:val="1"/>
    <w:next w:val="1"/>
    <w:qFormat/>
    <w:uiPriority w:val="0"/>
    <w:pPr>
      <w:keepNext/>
      <w:keepLines/>
      <w:numPr>
        <w:ilvl w:val="5"/>
        <w:numId w:val="1"/>
      </w:numPr>
      <w:adjustRightInd w:val="0"/>
      <w:spacing w:before="240" w:after="64" w:line="320" w:lineRule="atLeast"/>
      <w:outlineLvl w:val="5"/>
    </w:pPr>
    <w:rPr>
      <w:rFonts w:ascii="Arial" w:hAnsi="Arial" w:eastAsia="黑体"/>
      <w:b/>
      <w:kern w:val="0"/>
      <w:sz w:val="24"/>
      <w:szCs w:val="20"/>
    </w:rPr>
  </w:style>
  <w:style w:type="paragraph" w:styleId="9">
    <w:name w:val="heading 7"/>
    <w:basedOn w:val="1"/>
    <w:next w:val="1"/>
    <w:qFormat/>
    <w:uiPriority w:val="0"/>
    <w:pPr>
      <w:keepNext/>
      <w:keepLines/>
      <w:numPr>
        <w:ilvl w:val="6"/>
        <w:numId w:val="1"/>
      </w:numPr>
      <w:adjustRightInd w:val="0"/>
      <w:spacing w:before="240" w:after="64" w:line="320" w:lineRule="atLeast"/>
      <w:outlineLvl w:val="6"/>
    </w:pPr>
    <w:rPr>
      <w:b/>
      <w:kern w:val="0"/>
      <w:sz w:val="24"/>
      <w:szCs w:val="20"/>
    </w:rPr>
  </w:style>
  <w:style w:type="paragraph" w:styleId="10">
    <w:name w:val="heading 8"/>
    <w:basedOn w:val="1"/>
    <w:next w:val="1"/>
    <w:qFormat/>
    <w:uiPriority w:val="0"/>
    <w:pPr>
      <w:keepNext/>
      <w:keepLines/>
      <w:numPr>
        <w:ilvl w:val="7"/>
        <w:numId w:val="1"/>
      </w:numPr>
      <w:adjustRightInd w:val="0"/>
      <w:spacing w:before="240" w:after="64" w:line="320" w:lineRule="atLeast"/>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1"/>
      </w:numPr>
      <w:adjustRightInd w:val="0"/>
      <w:spacing w:before="240" w:after="64" w:line="320" w:lineRule="atLeast"/>
      <w:outlineLvl w:val="8"/>
    </w:pPr>
    <w:rPr>
      <w:rFonts w:ascii="Arial" w:hAnsi="Arial" w:eastAsia="黑体"/>
      <w:kern w:val="0"/>
      <w:szCs w:val="20"/>
    </w:rPr>
  </w:style>
  <w:style w:type="character" w:default="1" w:styleId="28">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Times New Roman"/>
      <w:color w:val="000000"/>
      <w:kern w:val="2"/>
      <w:sz w:val="21"/>
      <w:szCs w:val="24"/>
      <w:lang w:val="en-US" w:eastAsia="zh-CN" w:bidi="ar-SA"/>
    </w:rPr>
  </w:style>
  <w:style w:type="paragraph" w:styleId="12">
    <w:name w:val="annotation subject"/>
    <w:basedOn w:val="13"/>
    <w:next w:val="13"/>
    <w:semiHidden/>
    <w:qFormat/>
    <w:uiPriority w:val="0"/>
    <w:rPr>
      <w:b/>
      <w:bCs/>
    </w:rPr>
  </w:style>
  <w:style w:type="paragraph" w:styleId="13">
    <w:name w:val="annotation text"/>
    <w:basedOn w:val="1"/>
    <w:link w:val="51"/>
    <w:qFormat/>
    <w:uiPriority w:val="0"/>
    <w:pPr>
      <w:jc w:val="left"/>
    </w:pPr>
  </w:style>
  <w:style w:type="paragraph" w:styleId="14">
    <w:name w:val="Normal Indent"/>
    <w:basedOn w:val="1"/>
    <w:qFormat/>
    <w:uiPriority w:val="0"/>
    <w:pPr>
      <w:ind w:firstLine="420" w:firstLineChars="200"/>
    </w:pPr>
  </w:style>
  <w:style w:type="paragraph" w:styleId="15">
    <w:name w:val="caption"/>
    <w:basedOn w:val="1"/>
    <w:next w:val="1"/>
    <w:qFormat/>
    <w:uiPriority w:val="0"/>
    <w:pPr>
      <w:jc w:val="center"/>
    </w:pPr>
    <w:rPr>
      <w:sz w:val="48"/>
      <w:szCs w:val="20"/>
    </w:rPr>
  </w:style>
  <w:style w:type="paragraph" w:styleId="16">
    <w:name w:val="Document Map"/>
    <w:basedOn w:val="1"/>
    <w:link w:val="43"/>
    <w:qFormat/>
    <w:uiPriority w:val="0"/>
    <w:rPr>
      <w:rFonts w:ascii="宋体"/>
      <w:sz w:val="18"/>
      <w:szCs w:val="18"/>
    </w:rPr>
  </w:style>
  <w:style w:type="paragraph" w:styleId="17">
    <w:name w:val="Body Text"/>
    <w:basedOn w:val="1"/>
    <w:qFormat/>
    <w:uiPriority w:val="0"/>
    <w:pPr>
      <w:spacing w:after="120"/>
    </w:pPr>
  </w:style>
  <w:style w:type="paragraph" w:styleId="18">
    <w:name w:val="Body Text Indent"/>
    <w:basedOn w:val="1"/>
    <w:qFormat/>
    <w:uiPriority w:val="0"/>
    <w:pPr>
      <w:adjustRightInd w:val="0"/>
      <w:spacing w:line="320" w:lineRule="atLeast"/>
      <w:ind w:firstLine="480"/>
      <w:textAlignment w:val="baseline"/>
    </w:pPr>
    <w:rPr>
      <w:rFonts w:ascii="楷体" w:eastAsia="楷体_GB2312"/>
      <w:kern w:val="0"/>
      <w:sz w:val="30"/>
      <w:szCs w:val="20"/>
    </w:rPr>
  </w:style>
  <w:style w:type="paragraph" w:styleId="19">
    <w:name w:val="toc 3"/>
    <w:basedOn w:val="1"/>
    <w:next w:val="1"/>
    <w:qFormat/>
    <w:uiPriority w:val="39"/>
    <w:pPr>
      <w:ind w:left="840" w:leftChars="400"/>
    </w:pPr>
  </w:style>
  <w:style w:type="paragraph" w:styleId="20">
    <w:name w:val="Body Text Indent 2"/>
    <w:basedOn w:val="1"/>
    <w:link w:val="53"/>
    <w:qFormat/>
    <w:uiPriority w:val="0"/>
    <w:pPr>
      <w:adjustRightInd w:val="0"/>
      <w:snapToGrid w:val="0"/>
      <w:spacing w:line="360" w:lineRule="auto"/>
      <w:ind w:firstLine="502"/>
    </w:pPr>
    <w:rPr>
      <w:rFonts w:ascii="仿宋_GB2312" w:eastAsia="仿宋_GB2312"/>
      <w:sz w:val="28"/>
    </w:rPr>
  </w:style>
  <w:style w:type="paragraph" w:styleId="21">
    <w:name w:val="Balloon Text"/>
    <w:basedOn w:val="1"/>
    <w:semiHidden/>
    <w:qFormat/>
    <w:uiPriority w:val="0"/>
    <w:rPr>
      <w:sz w:val="18"/>
      <w:szCs w:val="18"/>
    </w:rPr>
  </w:style>
  <w:style w:type="paragraph" w:styleId="22">
    <w:name w:val="footer"/>
    <w:basedOn w:val="1"/>
    <w:link w:val="42"/>
    <w:qFormat/>
    <w:uiPriority w:val="99"/>
    <w:pPr>
      <w:tabs>
        <w:tab w:val="center" w:pos="4320"/>
        <w:tab w:val="right" w:pos="8640"/>
      </w:tabs>
      <w:adjustRightInd w:val="0"/>
      <w:spacing w:line="240" w:lineRule="atLeast"/>
      <w:jc w:val="left"/>
      <w:textAlignment w:val="baseline"/>
    </w:pPr>
    <w:rPr>
      <w:rFonts w:ascii="楷体" w:eastAsia="Times New Roman"/>
      <w:kern w:val="0"/>
      <w:sz w:val="18"/>
      <w:szCs w:val="20"/>
    </w:rPr>
  </w:style>
  <w:style w:type="paragraph" w:styleId="23">
    <w:name w:val="header"/>
    <w:basedOn w:val="1"/>
    <w:qFormat/>
    <w:uiPriority w:val="0"/>
    <w:pPr>
      <w:pBdr>
        <w:bottom w:val="single" w:color="auto" w:sz="6" w:space="1"/>
      </w:pBdr>
      <w:tabs>
        <w:tab w:val="center" w:pos="4320"/>
        <w:tab w:val="right" w:pos="8640"/>
      </w:tabs>
      <w:adjustRightInd w:val="0"/>
      <w:spacing w:line="240" w:lineRule="atLeast"/>
      <w:jc w:val="center"/>
      <w:textAlignment w:val="baseline"/>
    </w:pPr>
    <w:rPr>
      <w:rFonts w:ascii="楷体" w:eastAsia="Times New Roman"/>
      <w:kern w:val="0"/>
      <w:sz w:val="18"/>
      <w:szCs w:val="20"/>
    </w:rPr>
  </w:style>
  <w:style w:type="paragraph" w:styleId="24">
    <w:name w:val="toc 1"/>
    <w:basedOn w:val="1"/>
    <w:next w:val="1"/>
    <w:qFormat/>
    <w:uiPriority w:val="39"/>
    <w:pPr>
      <w:adjustRightInd w:val="0"/>
      <w:snapToGrid w:val="0"/>
      <w:spacing w:line="360" w:lineRule="auto"/>
    </w:pPr>
    <w:rPr>
      <w:rFonts w:ascii="仿宋_GB2312" w:eastAsia="仿宋_GB2312"/>
      <w:b/>
      <w:snapToGrid w:val="0"/>
      <w:sz w:val="28"/>
      <w:szCs w:val="20"/>
    </w:rPr>
  </w:style>
  <w:style w:type="paragraph" w:styleId="25">
    <w:name w:val="toc 4"/>
    <w:basedOn w:val="1"/>
    <w:next w:val="1"/>
    <w:qFormat/>
    <w:uiPriority w:val="39"/>
    <w:pPr>
      <w:ind w:left="1260" w:leftChars="600"/>
    </w:pPr>
  </w:style>
  <w:style w:type="paragraph" w:styleId="26">
    <w:name w:val="Body Text Indent 3"/>
    <w:basedOn w:val="1"/>
    <w:link w:val="52"/>
    <w:qFormat/>
    <w:uiPriority w:val="0"/>
    <w:pPr>
      <w:snapToGrid w:val="0"/>
      <w:spacing w:line="360" w:lineRule="auto"/>
      <w:ind w:firstLine="502"/>
    </w:pPr>
    <w:rPr>
      <w:rFonts w:ascii="仿宋_GB2312" w:eastAsia="仿宋_GB2312"/>
      <w:color w:val="FF0000"/>
      <w:sz w:val="28"/>
    </w:rPr>
  </w:style>
  <w:style w:type="paragraph" w:styleId="27">
    <w:name w:val="toc 2"/>
    <w:basedOn w:val="1"/>
    <w:next w:val="1"/>
    <w:qFormat/>
    <w:uiPriority w:val="39"/>
    <w:pPr>
      <w:tabs>
        <w:tab w:val="left" w:pos="1260"/>
        <w:tab w:val="right" w:leader="dot" w:pos="9072"/>
      </w:tabs>
      <w:spacing w:line="360" w:lineRule="auto"/>
      <w:ind w:left="420" w:leftChars="200"/>
    </w:pPr>
    <w:rPr>
      <w:sz w:val="24"/>
    </w:rPr>
  </w:style>
  <w:style w:type="character" w:styleId="29">
    <w:name w:val="page number"/>
    <w:basedOn w:val="28"/>
    <w:qFormat/>
    <w:uiPriority w:val="0"/>
    <w:rPr>
      <w:rFonts w:ascii="宋体" w:hAnsi="宋体" w:eastAsia="宋体"/>
    </w:rPr>
  </w:style>
  <w:style w:type="character" w:styleId="30">
    <w:name w:val="Hyperlink"/>
    <w:basedOn w:val="28"/>
    <w:unhideWhenUsed/>
    <w:qFormat/>
    <w:uiPriority w:val="99"/>
    <w:rPr>
      <w:color w:val="0000FF"/>
      <w:u w:val="single"/>
    </w:rPr>
  </w:style>
  <w:style w:type="character" w:styleId="31">
    <w:name w:val="annotation reference"/>
    <w:basedOn w:val="28"/>
    <w:qFormat/>
    <w:uiPriority w:val="0"/>
    <w:rPr>
      <w:sz w:val="21"/>
      <w:szCs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zw"/>
    <w:basedOn w:val="1"/>
    <w:qFormat/>
    <w:uiPriority w:val="0"/>
    <w:pPr>
      <w:adjustRightInd w:val="0"/>
      <w:spacing w:line="440" w:lineRule="atLeast"/>
      <w:ind w:firstLine="601"/>
      <w:textAlignment w:val="baseline"/>
    </w:pPr>
    <w:rPr>
      <w:rFonts w:ascii="Arial Narrow" w:eastAsia="昆仑楷体"/>
      <w:kern w:val="0"/>
      <w:sz w:val="28"/>
      <w:szCs w:val="20"/>
    </w:rPr>
  </w:style>
  <w:style w:type="paragraph" w:customStyle="1" w:styleId="35">
    <w:name w:val="fig"/>
    <w:basedOn w:val="1"/>
    <w:qFormat/>
    <w:uiPriority w:val="0"/>
    <w:pPr>
      <w:adjustRightInd w:val="0"/>
      <w:snapToGrid w:val="0"/>
      <w:spacing w:line="384" w:lineRule="auto"/>
      <w:ind w:firstLine="630" w:firstLineChars="300"/>
    </w:pPr>
    <w:rPr>
      <w:rFonts w:ascii="宋体" w:hAnsi="宋体"/>
      <w:szCs w:val="20"/>
    </w:rPr>
  </w:style>
  <w:style w:type="paragraph" w:customStyle="1" w:styleId="3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7">
    <w:name w:val="正文5"/>
    <w:basedOn w:val="20"/>
    <w:qFormat/>
    <w:uiPriority w:val="0"/>
    <w:pPr>
      <w:adjustRightInd/>
      <w:snapToGrid/>
      <w:ind w:firstLine="539"/>
    </w:pPr>
    <w:rPr>
      <w:szCs w:val="20"/>
    </w:rPr>
  </w:style>
  <w:style w:type="paragraph" w:customStyle="1" w:styleId="3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kern w:val="0"/>
      <w:sz w:val="18"/>
      <w:szCs w:val="18"/>
    </w:rPr>
  </w:style>
  <w:style w:type="paragraph" w:customStyle="1" w:styleId="39">
    <w:name w:val="2"/>
    <w:basedOn w:val="1"/>
    <w:qFormat/>
    <w:uiPriority w:val="0"/>
    <w:rPr>
      <w:rFonts w:ascii="Tahoma" w:hAnsi="Tahoma"/>
      <w:sz w:val="24"/>
      <w:szCs w:val="20"/>
    </w:rPr>
  </w:style>
  <w:style w:type="paragraph" w:customStyle="1" w:styleId="40">
    <w:name w:val="1"/>
    <w:basedOn w:val="1"/>
    <w:qFormat/>
    <w:uiPriority w:val="0"/>
    <w:rPr>
      <w:rFonts w:ascii="Tahoma" w:hAnsi="Tahoma"/>
      <w:sz w:val="24"/>
      <w:szCs w:val="20"/>
    </w:rPr>
  </w:style>
  <w:style w:type="paragraph" w:customStyle="1" w:styleId="41">
    <w:name w:val="默认段落字体 Para Char Char Char Char Char Char Char"/>
    <w:basedOn w:val="1"/>
    <w:qFormat/>
    <w:uiPriority w:val="0"/>
    <w:rPr>
      <w:rFonts w:ascii="Tahoma" w:hAnsi="Tahoma"/>
      <w:sz w:val="24"/>
      <w:szCs w:val="20"/>
    </w:rPr>
  </w:style>
  <w:style w:type="character" w:customStyle="1" w:styleId="42">
    <w:name w:val="页脚 字符"/>
    <w:basedOn w:val="28"/>
    <w:link w:val="22"/>
    <w:qFormat/>
    <w:uiPriority w:val="99"/>
    <w:rPr>
      <w:rFonts w:ascii="楷体" w:eastAsia="Times New Roman"/>
      <w:sz w:val="18"/>
    </w:rPr>
  </w:style>
  <w:style w:type="character" w:customStyle="1" w:styleId="43">
    <w:name w:val="文档结构图 字符"/>
    <w:basedOn w:val="28"/>
    <w:link w:val="16"/>
    <w:qFormat/>
    <w:uiPriority w:val="0"/>
    <w:rPr>
      <w:rFonts w:ascii="宋体"/>
      <w:kern w:val="2"/>
      <w:sz w:val="18"/>
      <w:szCs w:val="18"/>
    </w:rPr>
  </w:style>
  <w:style w:type="paragraph" w:customStyle="1" w:styleId="44">
    <w:name w:val="列出段落1"/>
    <w:basedOn w:val="1"/>
    <w:qFormat/>
    <w:uiPriority w:val="34"/>
    <w:pPr>
      <w:ind w:firstLine="420" w:firstLineChars="200"/>
    </w:p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fontstyle01"/>
    <w:basedOn w:val="28"/>
    <w:qFormat/>
    <w:uiPriority w:val="0"/>
    <w:rPr>
      <w:rFonts w:hint="eastAsia" w:ascii="仿宋_GB2312" w:eastAsia="仿宋_GB2312"/>
      <w:color w:val="000000"/>
      <w:sz w:val="32"/>
      <w:szCs w:val="32"/>
    </w:rPr>
  </w:style>
  <w:style w:type="paragraph" w:styleId="47">
    <w:name w:val="List Paragraph"/>
    <w:basedOn w:val="1"/>
    <w:qFormat/>
    <w:uiPriority w:val="99"/>
    <w:pPr>
      <w:ind w:firstLine="420" w:firstLineChars="200"/>
    </w:pPr>
  </w:style>
  <w:style w:type="character" w:customStyle="1" w:styleId="48">
    <w:name w:val="font41"/>
    <w:basedOn w:val="28"/>
    <w:qFormat/>
    <w:uiPriority w:val="0"/>
    <w:rPr>
      <w:rFonts w:hint="eastAsia" w:ascii="宋体" w:hAnsi="宋体" w:eastAsia="宋体" w:cs="宋体"/>
      <w:color w:val="000000"/>
      <w:sz w:val="20"/>
      <w:szCs w:val="20"/>
      <w:u w:val="none"/>
    </w:rPr>
  </w:style>
  <w:style w:type="character" w:customStyle="1" w:styleId="49">
    <w:name w:val="font21"/>
    <w:basedOn w:val="28"/>
    <w:qFormat/>
    <w:uiPriority w:val="0"/>
    <w:rPr>
      <w:rFonts w:hint="default" w:ascii="Times New Roman" w:hAnsi="Times New Roman" w:cs="Times New Roman"/>
      <w:color w:val="000000"/>
      <w:sz w:val="20"/>
      <w:szCs w:val="20"/>
      <w:u w:val="none"/>
    </w:rPr>
  </w:style>
  <w:style w:type="character" w:customStyle="1" w:styleId="50">
    <w:name w:val="font31"/>
    <w:basedOn w:val="28"/>
    <w:qFormat/>
    <w:uiPriority w:val="0"/>
    <w:rPr>
      <w:rFonts w:hint="eastAsia" w:ascii="宋体" w:hAnsi="宋体" w:eastAsia="宋体" w:cs="宋体"/>
      <w:color w:val="000000"/>
      <w:sz w:val="20"/>
      <w:szCs w:val="20"/>
      <w:u w:val="none"/>
    </w:rPr>
  </w:style>
  <w:style w:type="character" w:customStyle="1" w:styleId="51">
    <w:name w:val="批注文字 字符"/>
    <w:link w:val="13"/>
    <w:qFormat/>
    <w:uiPriority w:val="0"/>
    <w:rPr>
      <w:kern w:val="2"/>
      <w:sz w:val="21"/>
      <w:szCs w:val="24"/>
    </w:rPr>
  </w:style>
  <w:style w:type="character" w:customStyle="1" w:styleId="52">
    <w:name w:val="正文文本缩进 3 字符"/>
    <w:link w:val="26"/>
    <w:qFormat/>
    <w:uiPriority w:val="0"/>
    <w:rPr>
      <w:rFonts w:ascii="仿宋_GB2312" w:eastAsia="仿宋_GB2312"/>
      <w:color w:val="FF0000"/>
      <w:kern w:val="2"/>
      <w:sz w:val="28"/>
      <w:szCs w:val="24"/>
    </w:rPr>
  </w:style>
  <w:style w:type="character" w:customStyle="1" w:styleId="53">
    <w:name w:val="正文文本缩进 2 字符"/>
    <w:link w:val="20"/>
    <w:qFormat/>
    <w:uiPriority w:val="0"/>
    <w:rPr>
      <w:rFonts w:ascii="仿宋_GB2312" w:eastAsia="仿宋_GB2312"/>
      <w:kern w:val="2"/>
      <w:sz w:val="28"/>
      <w:szCs w:val="24"/>
    </w:rPr>
  </w:style>
  <w:style w:type="paragraph" w:customStyle="1" w:styleId="5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5">
    <w:name w:val="font11"/>
    <w:basedOn w:val="28"/>
    <w:qFormat/>
    <w:uiPriority w:val="0"/>
    <w:rPr>
      <w:rFonts w:hint="eastAsia" w:ascii="宋体" w:hAnsi="宋体" w:eastAsia="宋体" w:cs="宋体"/>
      <w:color w:val="000000"/>
      <w:sz w:val="20"/>
      <w:szCs w:val="20"/>
      <w:u w:val="none"/>
    </w:rPr>
  </w:style>
  <w:style w:type="paragraph" w:customStyle="1" w:styleId="56">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XYZH CPA</Company>
  <Pages>18</Pages>
  <Words>7247</Words>
  <Characters>7497</Characters>
  <Lines>87</Lines>
  <Paragraphs>24</Paragraphs>
  <TotalTime>43</TotalTime>
  <ScaleCrop>false</ScaleCrop>
  <LinksUpToDate>false</LinksUpToDate>
  <CharactersWithSpaces>7704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2021-06-23T05:45:00Z</dcterms:created>
  <dc:creator>张丽娟</dc:creator>
  <cp:lastModifiedBy>Administrator</cp:lastModifiedBy>
  <cp:lastPrinted>2023-07-29T07:47:00Z</cp:lastPrinted>
  <dcterms:modified xsi:type="dcterms:W3CDTF">2023-09-08T02:23:07Z</dcterms:modified>
  <dc:title>资产评估报告书模板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F0B95650895241679C81772CCDF0C1DE_13</vt:lpwstr>
  </property>
</Properties>
</file>