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autoSpaceDE w:val="0"/>
        <w:autoSpaceDN w:val="0"/>
        <w:snapToGrid w:val="0"/>
        <w:ind w:right="-1"/>
        <w:textAlignment w:val="bottom"/>
        <w:outlineLvl w:val="0"/>
        <w:rPr>
          <w:rFonts w:asciiTheme="minorEastAsia" w:hAnsiTheme="minorEastAsia" w:eastAsiaTheme="minorEastAsia" w:cstheme="minorEastAsia"/>
          <w:b/>
          <w:spacing w:val="4"/>
          <w:sz w:val="32"/>
          <w:szCs w:val="32"/>
        </w:rPr>
      </w:pPr>
      <w:r>
        <w:rPr>
          <w:rFonts w:hint="eastAsia" w:asciiTheme="minorEastAsia" w:hAnsiTheme="minorEastAsia" w:eastAsiaTheme="minorEastAsia" w:cstheme="minorEastAsia"/>
          <w:b/>
          <w:spacing w:val="4"/>
          <w:sz w:val="32"/>
          <w:szCs w:val="32"/>
        </w:rPr>
        <w:t>本报告依据中国资产评估准则编制</w:t>
      </w:r>
    </w:p>
    <w:p>
      <w:pPr>
        <w:widowControl/>
        <w:autoSpaceDE w:val="0"/>
        <w:autoSpaceDN w:val="0"/>
        <w:snapToGrid w:val="0"/>
        <w:ind w:right="-1"/>
        <w:textAlignment w:val="bottom"/>
        <w:outlineLvl w:val="0"/>
        <w:rPr>
          <w:rFonts w:ascii="仿宋_GB2312" w:hAnsi="仿宋_GB2312" w:eastAsia="仿宋_GB2312" w:cs="仿宋_GB2312"/>
          <w:b/>
          <w:spacing w:val="4"/>
          <w:sz w:val="32"/>
          <w:szCs w:val="32"/>
        </w:rPr>
      </w:pPr>
      <w:r>
        <w:rPr>
          <w:rFonts w:hint="eastAsia" w:asciiTheme="minorEastAsia" w:hAnsiTheme="minorEastAsia" w:eastAsiaTheme="minorEastAsia" w:cstheme="minorEastAsia"/>
          <w:b/>
          <w:spacing w:val="4"/>
          <w:sz w:val="32"/>
          <w:szCs w:val="32"/>
        </w:rPr>
        <w:t>人民法院委托司法执行财产处置参考价目的资产评估报告</w:t>
      </w:r>
    </w:p>
    <w:p>
      <w:pPr>
        <w:widowControl/>
        <w:autoSpaceDE w:val="0"/>
        <w:autoSpaceDN w:val="0"/>
        <w:snapToGrid w:val="0"/>
        <w:ind w:right="-1"/>
        <w:jc w:val="center"/>
        <w:textAlignment w:val="bottom"/>
        <w:outlineLvl w:val="0"/>
        <w:rPr>
          <w:rFonts w:ascii="仿宋_GB2312" w:hAnsi="仿宋_GB2312" w:eastAsia="仿宋_GB2312" w:cs="仿宋_GB2312"/>
          <w:b/>
          <w:spacing w:val="4"/>
          <w:sz w:val="32"/>
          <w:szCs w:val="32"/>
        </w:rPr>
      </w:pPr>
    </w:p>
    <w:p>
      <w:pPr>
        <w:widowControl/>
        <w:autoSpaceDE w:val="0"/>
        <w:autoSpaceDN w:val="0"/>
        <w:snapToGrid w:val="0"/>
        <w:ind w:right="-1"/>
        <w:jc w:val="center"/>
        <w:textAlignment w:val="bottom"/>
        <w:outlineLvl w:val="0"/>
        <w:rPr>
          <w:rFonts w:ascii="仿宋_GB2312" w:hAnsi="仿宋_GB2312" w:eastAsia="仿宋_GB2312" w:cs="仿宋_GB2312"/>
          <w:b/>
          <w:spacing w:val="4"/>
          <w:sz w:val="32"/>
          <w:szCs w:val="32"/>
        </w:rPr>
      </w:pPr>
    </w:p>
    <w:p>
      <w:pPr>
        <w:widowControl/>
        <w:autoSpaceDE w:val="0"/>
        <w:autoSpaceDN w:val="0"/>
        <w:snapToGrid w:val="0"/>
        <w:ind w:right="-1"/>
        <w:jc w:val="center"/>
        <w:textAlignment w:val="bottom"/>
        <w:outlineLvl w:val="0"/>
        <w:rPr>
          <w:rFonts w:ascii="黑体" w:hAnsi="黑体" w:eastAsia="黑体" w:cs="仿宋_GB2312"/>
          <w:bCs/>
          <w:spacing w:val="4"/>
          <w:sz w:val="36"/>
          <w:szCs w:val="36"/>
        </w:rPr>
      </w:pPr>
    </w:p>
    <w:p>
      <w:pPr>
        <w:widowControl/>
        <w:autoSpaceDE w:val="0"/>
        <w:autoSpaceDN w:val="0"/>
        <w:snapToGrid w:val="0"/>
        <w:ind w:right="-1"/>
        <w:jc w:val="center"/>
        <w:textAlignment w:val="bottom"/>
        <w:outlineLvl w:val="0"/>
        <w:rPr>
          <w:rFonts w:hint="eastAsia" w:ascii="黑体" w:hAnsi="黑体" w:eastAsia="黑体" w:cs="黑体"/>
          <w:bCs/>
          <w:spacing w:val="4"/>
          <w:sz w:val="36"/>
          <w:szCs w:val="36"/>
          <w:lang w:eastAsia="zh-CN"/>
        </w:rPr>
      </w:pPr>
      <w:bookmarkStart w:id="0" w:name="_Toc532765687"/>
      <w:bookmarkStart w:id="1" w:name="_Toc532849134"/>
      <w:r>
        <w:rPr>
          <w:rFonts w:hint="eastAsia" w:ascii="黑体" w:hAnsi="黑体" w:eastAsia="黑体" w:cs="黑体"/>
          <w:bCs/>
          <w:spacing w:val="4"/>
          <w:sz w:val="36"/>
          <w:szCs w:val="36"/>
          <w:lang w:eastAsia="zh-CN"/>
        </w:rPr>
        <w:t>辽源市龙山区人民法院拟司法执行财产处置涉及的</w:t>
      </w:r>
      <w:bookmarkEnd w:id="0"/>
      <w:bookmarkEnd w:id="1"/>
    </w:p>
    <w:p>
      <w:pPr>
        <w:widowControl/>
        <w:autoSpaceDE w:val="0"/>
        <w:autoSpaceDN w:val="0"/>
        <w:snapToGrid w:val="0"/>
        <w:ind w:right="-1"/>
        <w:jc w:val="center"/>
        <w:textAlignment w:val="bottom"/>
        <w:outlineLvl w:val="0"/>
        <w:rPr>
          <w:rFonts w:hint="eastAsia" w:ascii="黑体" w:hAnsi="黑体" w:eastAsia="黑体" w:cs="黑体"/>
          <w:bCs/>
          <w:spacing w:val="4"/>
          <w:sz w:val="36"/>
          <w:szCs w:val="36"/>
          <w:lang w:eastAsia="zh-CN"/>
        </w:rPr>
      </w:pPr>
      <w:r>
        <w:rPr>
          <w:rFonts w:hint="eastAsia" w:ascii="黑体" w:hAnsi="黑体" w:eastAsia="黑体" w:cs="黑体"/>
          <w:bCs/>
          <w:spacing w:val="4"/>
          <w:sz w:val="36"/>
          <w:szCs w:val="36"/>
          <w:lang w:eastAsia="zh-CN"/>
        </w:rPr>
        <w:t>赵利辉住宅价值</w:t>
      </w:r>
    </w:p>
    <w:p>
      <w:pPr>
        <w:widowControl/>
        <w:autoSpaceDE w:val="0"/>
        <w:autoSpaceDN w:val="0"/>
        <w:snapToGrid w:val="0"/>
        <w:spacing w:before="40" w:after="40"/>
        <w:ind w:right="-1"/>
        <w:jc w:val="center"/>
        <w:textAlignment w:val="bottom"/>
        <w:outlineLvl w:val="0"/>
        <w:rPr>
          <w:rFonts w:ascii="黑体" w:hAnsi="黑体" w:eastAsia="黑体" w:cs="黑体"/>
          <w:bCs/>
          <w:spacing w:val="4"/>
          <w:sz w:val="52"/>
          <w:szCs w:val="52"/>
        </w:rPr>
      </w:pPr>
      <w:bookmarkStart w:id="2" w:name="_Toc478131702"/>
      <w:bookmarkStart w:id="3" w:name="_Toc478131918"/>
      <w:bookmarkStart w:id="4" w:name="_Toc478131527"/>
      <w:bookmarkStart w:id="5" w:name="_Toc478131164"/>
    </w:p>
    <w:p>
      <w:pPr>
        <w:widowControl/>
        <w:autoSpaceDE w:val="0"/>
        <w:autoSpaceDN w:val="0"/>
        <w:snapToGrid w:val="0"/>
        <w:spacing w:before="40" w:after="40"/>
        <w:ind w:right="-1"/>
        <w:jc w:val="center"/>
        <w:textAlignment w:val="bottom"/>
        <w:outlineLvl w:val="0"/>
        <w:rPr>
          <w:rFonts w:ascii="黑体" w:eastAsia="黑体"/>
          <w:sz w:val="44"/>
          <w:szCs w:val="44"/>
        </w:rPr>
      </w:pPr>
      <w:bookmarkStart w:id="6" w:name="_Toc532849135"/>
      <w:bookmarkStart w:id="7" w:name="_Toc532765688"/>
      <w:r>
        <w:rPr>
          <w:rFonts w:hint="eastAsia" w:ascii="黑体" w:hAnsi="黑体" w:eastAsia="黑体" w:cs="黑体"/>
          <w:bCs/>
          <w:spacing w:val="4"/>
          <w:sz w:val="52"/>
          <w:szCs w:val="52"/>
        </w:rPr>
        <w:t>资产评估报告</w:t>
      </w:r>
      <w:bookmarkEnd w:id="2"/>
      <w:bookmarkEnd w:id="3"/>
      <w:bookmarkEnd w:id="4"/>
      <w:bookmarkEnd w:id="5"/>
      <w:bookmarkEnd w:id="6"/>
      <w:bookmarkEnd w:id="7"/>
    </w:p>
    <w:p>
      <w:pPr>
        <w:rPr>
          <w:rFonts w:ascii="黑体" w:eastAsia="黑体"/>
        </w:rPr>
      </w:pPr>
    </w:p>
    <w:p>
      <w:pPr>
        <w:jc w:val="center"/>
        <w:rPr>
          <w:rFonts w:hint="eastAsia" w:ascii="黑体" w:eastAsia="黑体"/>
          <w:szCs w:val="21"/>
          <w:lang w:eastAsia="zh-CN"/>
        </w:rPr>
      </w:pPr>
      <w:r>
        <w:rPr>
          <w:rFonts w:hint="eastAsia" w:ascii="黑体" w:eastAsia="黑体"/>
          <w:szCs w:val="21"/>
          <w:lang w:eastAsia="zh-CN"/>
        </w:rPr>
        <w:t>辽新安评报字[202</w:t>
      </w:r>
      <w:r>
        <w:rPr>
          <w:rFonts w:hint="eastAsia" w:ascii="黑体" w:eastAsia="黑体"/>
          <w:szCs w:val="21"/>
          <w:lang w:val="en-US" w:eastAsia="zh-CN"/>
        </w:rPr>
        <w:t>2</w:t>
      </w:r>
      <w:r>
        <w:rPr>
          <w:rFonts w:hint="eastAsia" w:ascii="黑体" w:eastAsia="黑体"/>
          <w:szCs w:val="21"/>
          <w:lang w:eastAsia="zh-CN"/>
        </w:rPr>
        <w:t>]第</w:t>
      </w:r>
      <w:r>
        <w:rPr>
          <w:rFonts w:hint="eastAsia" w:ascii="黑体" w:eastAsia="黑体"/>
          <w:szCs w:val="21"/>
          <w:highlight w:val="none"/>
          <w:lang w:val="en-US" w:eastAsia="zh-CN"/>
        </w:rPr>
        <w:t>025</w:t>
      </w:r>
      <w:r>
        <w:rPr>
          <w:rFonts w:hint="eastAsia" w:ascii="黑体" w:eastAsia="黑体"/>
          <w:szCs w:val="21"/>
          <w:highlight w:val="none"/>
          <w:lang w:eastAsia="zh-CN"/>
        </w:rPr>
        <w:t>号</w:t>
      </w:r>
    </w:p>
    <w:p/>
    <w:p/>
    <w:p/>
    <w:p>
      <w:r>
        <w:rPr>
          <w:rFonts w:hint="eastAsia"/>
        </w:rPr>
        <w:t xml:space="preserve">                                 （共1册，第1册）</w:t>
      </w:r>
    </w:p>
    <w:p>
      <w:pPr>
        <w:jc w:val="center"/>
        <w:rPr>
          <w:b/>
          <w:bCs/>
          <w:sz w:val="28"/>
          <w:szCs w:val="28"/>
        </w:rPr>
      </w:pPr>
    </w:p>
    <w:p>
      <w:pPr>
        <w:rPr>
          <w:sz w:val="28"/>
          <w:szCs w:val="28"/>
        </w:rPr>
      </w:pPr>
      <w:r>
        <w:rPr>
          <w:rFonts w:hint="eastAsia"/>
        </w:rPr>
        <w:t xml:space="preserve">         </w:t>
      </w:r>
      <w:r>
        <w:rPr>
          <w:rFonts w:hint="eastAsia"/>
          <w:sz w:val="28"/>
          <w:szCs w:val="28"/>
        </w:rPr>
        <w:t xml:space="preserve"> </w:t>
      </w:r>
    </w:p>
    <w:p>
      <w:pPr>
        <w:rPr>
          <w:sz w:val="28"/>
          <w:szCs w:val="28"/>
        </w:rPr>
      </w:pPr>
    </w:p>
    <w:p>
      <w:pPr>
        <w:rPr>
          <w:sz w:val="28"/>
          <w:szCs w:val="28"/>
        </w:rPr>
      </w:pPr>
    </w:p>
    <w:p>
      <w:pPr>
        <w:rPr>
          <w:sz w:val="28"/>
          <w:szCs w:val="28"/>
        </w:rPr>
      </w:pPr>
    </w:p>
    <w:p>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辽源新安资产评估事务所（普通合伙）</w:t>
      </w:r>
    </w:p>
    <w:p>
      <w:pPr>
        <w:jc w:val="center"/>
        <w:rPr>
          <w:rFonts w:asciiTheme="minorEastAsia" w:hAnsiTheme="minorEastAsia" w:eastAsiaTheme="minorEastAsia" w:cstheme="minorEastAsia"/>
          <w:sz w:val="24"/>
        </w:rPr>
      </w:pPr>
    </w:p>
    <w:p>
      <w:pPr>
        <w:jc w:val="center"/>
        <w:rPr>
          <w:rFonts w:ascii="黑体" w:eastAsia="黑体"/>
          <w:color w:val="FF0000"/>
          <w:sz w:val="36"/>
          <w:szCs w:val="36"/>
        </w:rPr>
      </w:pPr>
      <w:r>
        <w:rPr>
          <w:rFonts w:hint="eastAsia" w:asciiTheme="minorEastAsia" w:hAnsiTheme="minorEastAsia" w:eastAsiaTheme="minorEastAsia" w:cstheme="minorEastAsia"/>
          <w:sz w:val="28"/>
          <w:szCs w:val="28"/>
          <w:lang w:eastAsia="zh-CN"/>
        </w:rPr>
        <w:t>二〇二二年四</w:t>
      </w:r>
      <w:r>
        <w:rPr>
          <w:rFonts w:hint="eastAsia" w:asciiTheme="minorEastAsia" w:hAnsiTheme="minorEastAsia" w:eastAsiaTheme="minorEastAsia" w:cstheme="minorEastAsia"/>
          <w:sz w:val="28"/>
          <w:szCs w:val="28"/>
          <w:highlight w:val="none"/>
          <w:lang w:eastAsia="zh-CN"/>
        </w:rPr>
        <w:t>月六日</w:t>
      </w:r>
      <w:r>
        <w:rPr>
          <w:rFonts w:ascii="黑体" w:eastAsia="黑体"/>
          <w:color w:val="FF0000"/>
          <w:sz w:val="36"/>
          <w:szCs w:val="36"/>
        </w:rPr>
        <w:br w:type="page"/>
      </w:r>
    </w:p>
    <w:p>
      <w:pPr>
        <w:jc w:val="both"/>
        <w:rPr>
          <w:rFonts w:ascii="黑体" w:eastAsia="黑体"/>
          <w:sz w:val="36"/>
          <w:szCs w:val="36"/>
        </w:rPr>
      </w:pPr>
    </w:p>
    <w:p>
      <w:pPr>
        <w:jc w:val="center"/>
        <w:rPr>
          <w:rFonts w:ascii="黑体" w:eastAsia="黑体"/>
          <w:sz w:val="36"/>
          <w:szCs w:val="36"/>
        </w:rPr>
      </w:pPr>
      <w:r>
        <w:rPr>
          <w:rFonts w:hint="eastAsia" w:ascii="黑体" w:eastAsia="黑体"/>
          <w:sz w:val="36"/>
          <w:szCs w:val="36"/>
        </w:rPr>
        <w:t>评 估 报 告 目 录</w:t>
      </w:r>
    </w:p>
    <w:p>
      <w:pPr>
        <w:rPr>
          <w:sz w:val="44"/>
          <w:szCs w:val="44"/>
        </w:rPr>
      </w:pPr>
    </w:p>
    <w:p>
      <w:pPr>
        <w:spacing w:line="460" w:lineRule="exact"/>
        <w:rPr>
          <w:rFonts w:ascii="宋体" w:hAnsi="宋体"/>
          <w:sz w:val="24"/>
        </w:rPr>
      </w:pPr>
      <w:r>
        <w:rPr>
          <w:rFonts w:hint="eastAsia" w:ascii="宋体" w:hAnsi="宋体"/>
          <w:sz w:val="24"/>
        </w:rPr>
        <w:t>一、声明…………………………………………………………………………………3</w:t>
      </w:r>
    </w:p>
    <w:p>
      <w:pPr>
        <w:spacing w:line="460" w:lineRule="exact"/>
        <w:rPr>
          <w:rFonts w:ascii="宋体" w:hAnsi="宋体"/>
          <w:sz w:val="24"/>
        </w:rPr>
      </w:pPr>
      <w:r>
        <w:rPr>
          <w:rFonts w:hint="eastAsia" w:ascii="宋体" w:hAnsi="宋体"/>
          <w:sz w:val="24"/>
        </w:rPr>
        <w:t>二、资产评估报告摘要…………………………………………………………………4</w:t>
      </w:r>
    </w:p>
    <w:p>
      <w:pPr>
        <w:spacing w:line="460" w:lineRule="exact"/>
        <w:rPr>
          <w:rFonts w:hint="eastAsia" w:ascii="宋体" w:hAnsi="宋体" w:eastAsia="宋体"/>
          <w:sz w:val="24"/>
          <w:lang w:eastAsia="zh-CN"/>
        </w:rPr>
      </w:pPr>
      <w:r>
        <w:rPr>
          <w:rFonts w:hint="eastAsia" w:ascii="宋体" w:hAnsi="宋体"/>
          <w:sz w:val="24"/>
        </w:rPr>
        <w:t>三、资产评估报告正文…………………………………………………………………</w:t>
      </w:r>
      <w:r>
        <w:rPr>
          <w:rFonts w:hint="eastAsia" w:ascii="宋体" w:hAnsi="宋体"/>
          <w:sz w:val="24"/>
          <w:lang w:val="en-US" w:eastAsia="zh-CN"/>
        </w:rPr>
        <w:t>6</w:t>
      </w:r>
    </w:p>
    <w:p>
      <w:pPr>
        <w:spacing w:line="460" w:lineRule="exact"/>
        <w:ind w:firstLine="480"/>
        <w:rPr>
          <w:rFonts w:hint="eastAsia" w:ascii="宋体" w:hAnsi="宋体" w:eastAsia="宋体"/>
          <w:sz w:val="24"/>
          <w:lang w:eastAsia="zh-CN"/>
        </w:rPr>
      </w:pPr>
      <w:r>
        <w:rPr>
          <w:rFonts w:hint="eastAsia" w:ascii="宋体" w:hAnsi="宋体"/>
          <w:sz w:val="24"/>
        </w:rPr>
        <w:t xml:space="preserve">1、委托人、产权持有人和委托人以外的评估报告使用人…………………… </w:t>
      </w:r>
      <w:r>
        <w:rPr>
          <w:rFonts w:hint="eastAsia" w:ascii="宋体" w:hAnsi="宋体"/>
          <w:sz w:val="24"/>
          <w:lang w:val="en-US" w:eastAsia="zh-CN"/>
        </w:rPr>
        <w:t>6</w:t>
      </w:r>
    </w:p>
    <w:p>
      <w:pPr>
        <w:spacing w:line="460" w:lineRule="exact"/>
        <w:ind w:firstLine="480"/>
        <w:rPr>
          <w:rFonts w:hint="eastAsia" w:ascii="宋体" w:hAnsi="宋体" w:eastAsia="宋体"/>
          <w:sz w:val="24"/>
          <w:lang w:eastAsia="zh-CN"/>
        </w:rPr>
      </w:pPr>
      <w:r>
        <w:rPr>
          <w:rFonts w:hint="eastAsia" w:ascii="宋体" w:hAnsi="宋体"/>
          <w:sz w:val="24"/>
        </w:rPr>
        <w:t xml:space="preserve">2、评估目的……………………………………………………………………… </w:t>
      </w:r>
      <w:r>
        <w:rPr>
          <w:rFonts w:hint="eastAsia" w:ascii="宋体" w:hAnsi="宋体"/>
          <w:sz w:val="24"/>
          <w:lang w:val="en-US" w:eastAsia="zh-CN"/>
        </w:rPr>
        <w:t>6</w:t>
      </w:r>
    </w:p>
    <w:p>
      <w:pPr>
        <w:spacing w:line="460" w:lineRule="exact"/>
        <w:ind w:firstLine="480"/>
        <w:rPr>
          <w:rFonts w:hint="eastAsia" w:ascii="宋体" w:hAnsi="宋体" w:eastAsia="宋体"/>
          <w:sz w:val="24"/>
          <w:lang w:eastAsia="zh-CN"/>
        </w:rPr>
      </w:pPr>
      <w:r>
        <w:rPr>
          <w:rFonts w:hint="eastAsia" w:ascii="宋体" w:hAnsi="宋体"/>
          <w:sz w:val="24"/>
        </w:rPr>
        <w:t xml:space="preserve">3、评估对象及评估范围………………………………………………………… </w:t>
      </w:r>
      <w:r>
        <w:rPr>
          <w:rFonts w:hint="eastAsia" w:ascii="宋体" w:hAnsi="宋体"/>
          <w:sz w:val="24"/>
          <w:lang w:val="en-US" w:eastAsia="zh-CN"/>
        </w:rPr>
        <w:t>6</w:t>
      </w:r>
    </w:p>
    <w:p>
      <w:pPr>
        <w:spacing w:line="460" w:lineRule="exact"/>
        <w:ind w:firstLine="480"/>
        <w:rPr>
          <w:rFonts w:hint="eastAsia" w:ascii="宋体" w:hAnsi="宋体" w:eastAsia="宋体"/>
          <w:sz w:val="24"/>
          <w:lang w:eastAsia="zh-CN"/>
        </w:rPr>
      </w:pPr>
      <w:r>
        <w:rPr>
          <w:rFonts w:hint="eastAsia" w:ascii="宋体" w:hAnsi="宋体"/>
          <w:sz w:val="24"/>
        </w:rPr>
        <w:t xml:space="preserve">4、价值类型及其定义…………………………………………………………… </w:t>
      </w:r>
      <w:r>
        <w:rPr>
          <w:rFonts w:hint="eastAsia" w:ascii="宋体" w:hAnsi="宋体"/>
          <w:sz w:val="24"/>
          <w:lang w:val="en-US" w:eastAsia="zh-CN"/>
        </w:rPr>
        <w:t>7</w:t>
      </w:r>
    </w:p>
    <w:p>
      <w:pPr>
        <w:spacing w:line="460" w:lineRule="exact"/>
        <w:ind w:firstLine="480"/>
        <w:rPr>
          <w:rFonts w:hint="eastAsia" w:ascii="宋体" w:hAnsi="宋体" w:eastAsia="宋体"/>
          <w:sz w:val="24"/>
          <w:lang w:eastAsia="zh-CN"/>
        </w:rPr>
      </w:pPr>
      <w:r>
        <w:rPr>
          <w:rFonts w:hint="eastAsia" w:ascii="宋体" w:hAnsi="宋体"/>
          <w:sz w:val="24"/>
        </w:rPr>
        <w:t xml:space="preserve">5、评估基准日期………………………………………………………………… </w:t>
      </w:r>
      <w:r>
        <w:rPr>
          <w:rFonts w:hint="eastAsia" w:ascii="宋体" w:hAnsi="宋体"/>
          <w:sz w:val="24"/>
          <w:lang w:val="en-US" w:eastAsia="zh-CN"/>
        </w:rPr>
        <w:t>7</w:t>
      </w:r>
    </w:p>
    <w:p>
      <w:pPr>
        <w:spacing w:line="460" w:lineRule="exact"/>
        <w:ind w:firstLine="480"/>
        <w:rPr>
          <w:rFonts w:hint="eastAsia" w:ascii="宋体" w:hAnsi="宋体" w:eastAsia="宋体"/>
          <w:sz w:val="24"/>
          <w:lang w:eastAsia="zh-CN"/>
        </w:rPr>
      </w:pPr>
      <w:r>
        <w:rPr>
          <w:rFonts w:hint="eastAsia" w:ascii="宋体" w:hAnsi="宋体"/>
          <w:sz w:val="24"/>
        </w:rPr>
        <w:t xml:space="preserve">6、评估依据……………………………………………………………………… </w:t>
      </w:r>
      <w:r>
        <w:rPr>
          <w:rFonts w:hint="eastAsia" w:ascii="宋体" w:hAnsi="宋体"/>
          <w:sz w:val="24"/>
          <w:lang w:val="en-US" w:eastAsia="zh-CN"/>
        </w:rPr>
        <w:t>7</w:t>
      </w:r>
    </w:p>
    <w:p>
      <w:pPr>
        <w:spacing w:line="460" w:lineRule="exact"/>
        <w:ind w:firstLine="480"/>
        <w:rPr>
          <w:rFonts w:hint="default" w:ascii="宋体" w:hAnsi="宋体" w:eastAsia="宋体"/>
          <w:sz w:val="24"/>
          <w:lang w:val="en-US" w:eastAsia="zh-CN"/>
        </w:rPr>
      </w:pPr>
      <w:r>
        <w:rPr>
          <w:rFonts w:hint="eastAsia" w:ascii="宋体" w:hAnsi="宋体"/>
          <w:sz w:val="24"/>
        </w:rPr>
        <w:t xml:space="preserve">7、评估方法……………………………………………………………………… </w:t>
      </w:r>
      <w:r>
        <w:rPr>
          <w:rFonts w:hint="eastAsia" w:ascii="宋体" w:hAnsi="宋体"/>
          <w:sz w:val="24"/>
          <w:lang w:val="en-US" w:eastAsia="zh-CN"/>
        </w:rPr>
        <w:t>9</w:t>
      </w:r>
    </w:p>
    <w:p>
      <w:pPr>
        <w:spacing w:line="460" w:lineRule="exact"/>
        <w:ind w:firstLine="480"/>
        <w:rPr>
          <w:rFonts w:hint="eastAsia" w:ascii="宋体" w:hAnsi="宋体" w:eastAsia="宋体"/>
          <w:sz w:val="24"/>
          <w:lang w:eastAsia="zh-CN"/>
        </w:rPr>
      </w:pPr>
      <w:r>
        <w:rPr>
          <w:rFonts w:hint="eastAsia" w:ascii="宋体" w:hAnsi="宋体"/>
          <w:sz w:val="24"/>
        </w:rPr>
        <w:t xml:space="preserve">8、评估程序实施过程和情况…………………………………………………… </w:t>
      </w:r>
      <w:r>
        <w:rPr>
          <w:rFonts w:hint="eastAsia" w:ascii="宋体" w:hAnsi="宋体"/>
          <w:sz w:val="24"/>
          <w:lang w:val="en-US" w:eastAsia="zh-CN"/>
        </w:rPr>
        <w:t>9</w:t>
      </w:r>
    </w:p>
    <w:p>
      <w:pPr>
        <w:spacing w:line="460" w:lineRule="exact"/>
        <w:ind w:firstLine="480"/>
        <w:rPr>
          <w:rFonts w:hint="eastAsia" w:ascii="宋体" w:hAnsi="宋体" w:eastAsia="宋体"/>
          <w:sz w:val="24"/>
          <w:lang w:eastAsia="zh-CN"/>
        </w:rPr>
      </w:pPr>
      <w:r>
        <w:rPr>
          <w:rFonts w:hint="eastAsia" w:ascii="宋体" w:hAnsi="宋体"/>
          <w:sz w:val="24"/>
        </w:rPr>
        <w:t>9、评估假设 ………………………………………………………………………1</w:t>
      </w:r>
      <w:r>
        <w:rPr>
          <w:rFonts w:hint="eastAsia" w:ascii="宋体" w:hAnsi="宋体"/>
          <w:sz w:val="24"/>
          <w:lang w:val="en-US" w:eastAsia="zh-CN"/>
        </w:rPr>
        <w:t>1</w:t>
      </w:r>
    </w:p>
    <w:p>
      <w:pPr>
        <w:spacing w:line="460" w:lineRule="exact"/>
        <w:ind w:firstLine="480"/>
        <w:rPr>
          <w:rFonts w:hint="eastAsia" w:ascii="宋体" w:hAnsi="宋体" w:eastAsia="宋体"/>
          <w:sz w:val="24"/>
          <w:lang w:val="en-US" w:eastAsia="zh-CN"/>
        </w:rPr>
      </w:pPr>
      <w:r>
        <w:rPr>
          <w:rFonts w:hint="eastAsia" w:ascii="宋体" w:hAnsi="宋体"/>
          <w:sz w:val="24"/>
        </w:rPr>
        <w:t>10、评估结论………………………………………………………………………1</w:t>
      </w:r>
      <w:r>
        <w:rPr>
          <w:rFonts w:hint="eastAsia" w:ascii="宋体" w:hAnsi="宋体"/>
          <w:sz w:val="24"/>
          <w:lang w:val="en-US" w:eastAsia="zh-CN"/>
        </w:rPr>
        <w:t>2</w:t>
      </w:r>
    </w:p>
    <w:p>
      <w:pPr>
        <w:spacing w:line="460" w:lineRule="exact"/>
        <w:ind w:firstLine="480"/>
        <w:rPr>
          <w:rFonts w:hint="eastAsia" w:ascii="宋体" w:hAnsi="宋体" w:eastAsia="宋体"/>
          <w:sz w:val="24"/>
          <w:lang w:eastAsia="zh-CN"/>
        </w:rPr>
      </w:pPr>
      <w:r>
        <w:rPr>
          <w:rFonts w:hint="eastAsia" w:ascii="宋体" w:hAnsi="宋体"/>
          <w:sz w:val="24"/>
        </w:rPr>
        <w:t>11、特别事项说明…………………………………………………………………1</w:t>
      </w:r>
      <w:r>
        <w:rPr>
          <w:rFonts w:hint="eastAsia" w:ascii="宋体" w:hAnsi="宋体"/>
          <w:sz w:val="24"/>
          <w:lang w:val="en-US" w:eastAsia="zh-CN"/>
        </w:rPr>
        <w:t>2</w:t>
      </w:r>
    </w:p>
    <w:p>
      <w:pPr>
        <w:spacing w:line="460" w:lineRule="exact"/>
        <w:ind w:firstLine="480"/>
        <w:rPr>
          <w:rFonts w:hint="eastAsia" w:ascii="宋体" w:hAnsi="宋体" w:eastAsia="宋体"/>
          <w:sz w:val="24"/>
          <w:lang w:val="en-US" w:eastAsia="zh-CN"/>
        </w:rPr>
      </w:pPr>
      <w:r>
        <w:rPr>
          <w:rFonts w:hint="eastAsia" w:ascii="宋体" w:hAnsi="宋体"/>
          <w:sz w:val="24"/>
        </w:rPr>
        <w:t>12、评估报告使用限制说明………………………………………………………1</w:t>
      </w:r>
      <w:r>
        <w:rPr>
          <w:rFonts w:hint="eastAsia" w:ascii="宋体" w:hAnsi="宋体"/>
          <w:sz w:val="24"/>
          <w:lang w:val="en-US" w:eastAsia="zh-CN"/>
        </w:rPr>
        <w:t>3</w:t>
      </w:r>
    </w:p>
    <w:p>
      <w:pPr>
        <w:spacing w:line="460" w:lineRule="exact"/>
        <w:ind w:firstLine="480"/>
        <w:rPr>
          <w:rFonts w:hint="eastAsia" w:ascii="宋体" w:hAnsi="宋体" w:eastAsia="宋体"/>
          <w:sz w:val="24"/>
          <w:lang w:val="en-US" w:eastAsia="zh-CN"/>
        </w:rPr>
      </w:pPr>
      <w:r>
        <w:rPr>
          <w:rFonts w:hint="eastAsia" w:ascii="宋体" w:hAnsi="宋体"/>
          <w:sz w:val="24"/>
        </w:rPr>
        <w:t>13、评估报告日……………………………………………………………………1</w:t>
      </w:r>
      <w:r>
        <w:rPr>
          <w:rFonts w:hint="eastAsia" w:ascii="宋体" w:hAnsi="宋体"/>
          <w:sz w:val="24"/>
          <w:lang w:val="en-US" w:eastAsia="zh-CN"/>
        </w:rPr>
        <w:t>4</w:t>
      </w:r>
    </w:p>
    <w:p>
      <w:pPr>
        <w:spacing w:line="460" w:lineRule="exact"/>
        <w:ind w:firstLine="480"/>
        <w:rPr>
          <w:rFonts w:hint="eastAsia" w:ascii="宋体" w:hAnsi="宋体" w:eastAsia="宋体"/>
          <w:sz w:val="24"/>
          <w:lang w:val="en-US" w:eastAsia="zh-CN"/>
        </w:rPr>
      </w:pPr>
      <w:r>
        <w:rPr>
          <w:rFonts w:hint="eastAsia" w:ascii="宋体" w:hAnsi="宋体"/>
          <w:sz w:val="24"/>
        </w:rPr>
        <w:t>14、签字盖章………………………………………………………………………1</w:t>
      </w:r>
      <w:r>
        <w:rPr>
          <w:rFonts w:hint="eastAsia" w:ascii="宋体" w:hAnsi="宋体"/>
          <w:sz w:val="24"/>
          <w:lang w:val="en-US" w:eastAsia="zh-CN"/>
        </w:rPr>
        <w:t>5</w:t>
      </w:r>
    </w:p>
    <w:p>
      <w:pPr>
        <w:spacing w:line="460" w:lineRule="exact"/>
        <w:rPr>
          <w:rFonts w:hint="default" w:ascii="宋体" w:hAnsi="宋体" w:eastAsia="宋体"/>
          <w:sz w:val="24"/>
          <w:lang w:val="en-US" w:eastAsia="zh-CN"/>
        </w:rPr>
      </w:pPr>
      <w:r>
        <w:rPr>
          <w:rFonts w:hint="eastAsia" w:ascii="宋体" w:hAnsi="宋体"/>
          <w:sz w:val="24"/>
        </w:rPr>
        <w:t>四、附件目录……………………………………………………………………………</w:t>
      </w:r>
      <w:r>
        <w:rPr>
          <w:rFonts w:hint="eastAsia" w:ascii="宋体" w:hAnsi="宋体"/>
          <w:sz w:val="24"/>
          <w:lang w:val="en-US" w:eastAsia="zh-CN"/>
        </w:rPr>
        <w:t>16</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widowControl/>
        <w:jc w:val="left"/>
        <w:rPr>
          <w:rFonts w:ascii="黑体" w:eastAsia="黑体"/>
          <w:sz w:val="44"/>
          <w:szCs w:val="44"/>
        </w:rPr>
      </w:pPr>
    </w:p>
    <w:p>
      <w:pPr>
        <w:jc w:val="center"/>
        <w:rPr>
          <w:rFonts w:hint="eastAsia" w:ascii="黑体" w:eastAsia="黑体"/>
          <w:sz w:val="36"/>
          <w:szCs w:val="36"/>
        </w:rPr>
      </w:pPr>
    </w:p>
    <w:p>
      <w:pPr>
        <w:jc w:val="center"/>
        <w:rPr>
          <w:rFonts w:hint="eastAsia" w:ascii="黑体" w:eastAsia="黑体"/>
          <w:sz w:val="36"/>
          <w:szCs w:val="36"/>
        </w:rPr>
      </w:pPr>
      <w:r>
        <w:rPr>
          <w:rFonts w:hint="eastAsia" w:ascii="黑体" w:eastAsia="黑体"/>
          <w:sz w:val="36"/>
          <w:szCs w:val="36"/>
        </w:rPr>
        <w:t>声     明</w:t>
      </w:r>
    </w:p>
    <w:p>
      <w:pPr>
        <w:pStyle w:val="9"/>
        <w:ind w:left="5250" w:right="566"/>
        <w:jc w:val="center"/>
        <w:outlineLvl w:val="0"/>
        <w:rPr>
          <w:rFonts w:ascii="仿宋_GB2312" w:hAnsi="宋体" w:eastAsia="仿宋_GB2312"/>
          <w:b/>
          <w:sz w:val="21"/>
          <w:szCs w:val="21"/>
        </w:rPr>
      </w:pPr>
    </w:p>
    <w:p>
      <w:pPr>
        <w:spacing w:line="460" w:lineRule="exact"/>
        <w:rPr>
          <w:rFonts w:ascii="宋体" w:hAnsi="宋体"/>
          <w:b/>
          <w:sz w:val="24"/>
        </w:rPr>
      </w:pPr>
      <w:r>
        <w:rPr>
          <w:rFonts w:hint="eastAsia" w:ascii="宋体" w:hAnsi="宋体"/>
          <w:b/>
          <w:sz w:val="24"/>
        </w:rPr>
        <w:t>我们郑重声明：</w:t>
      </w:r>
    </w:p>
    <w:p>
      <w:pPr>
        <w:pStyle w:val="20"/>
        <w:numPr>
          <w:ilvl w:val="0"/>
          <w:numId w:val="1"/>
        </w:numPr>
        <w:spacing w:line="440" w:lineRule="exact"/>
        <w:ind w:left="0" w:firstLine="567" w:firstLineChars="0"/>
        <w:rPr>
          <w:rFonts w:ascii="宋体" w:hAnsi="宋体"/>
          <w:b/>
          <w:sz w:val="24"/>
        </w:rPr>
      </w:pPr>
      <w:r>
        <w:rPr>
          <w:rFonts w:hint="eastAsia" w:ascii="宋体" w:hAnsi="宋体"/>
          <w:b/>
          <w:sz w:val="24"/>
        </w:rPr>
        <w:t>本资产评估报告依据财政部发布的资产评估基本准则和中国资产评估协会发布的资产评估执业准则和职业道德准则编制。</w:t>
      </w:r>
    </w:p>
    <w:p>
      <w:pPr>
        <w:pStyle w:val="20"/>
        <w:numPr>
          <w:ilvl w:val="0"/>
          <w:numId w:val="1"/>
        </w:numPr>
        <w:spacing w:line="440" w:lineRule="exact"/>
        <w:ind w:left="0" w:firstLine="567" w:firstLineChars="0"/>
        <w:rPr>
          <w:rFonts w:ascii="宋体" w:hAnsi="宋体"/>
          <w:b/>
          <w:sz w:val="24"/>
        </w:rPr>
      </w:pPr>
      <w:r>
        <w:rPr>
          <w:rFonts w:hint="eastAsia" w:ascii="宋体" w:hAnsi="宋体"/>
          <w:b/>
          <w:sz w:val="24"/>
        </w:rPr>
        <w:t>委托人或者其他资产评估报告使用人应当按照法律、行政法规规定和本资产评估报告载明的使用范围使用资产评估报告；委托人或者其他资产评估报告使用人违反前述规定使用资产评估报告的，本资产评估机构及资产评估师不承担责任。</w:t>
      </w:r>
    </w:p>
    <w:p>
      <w:pPr>
        <w:pStyle w:val="20"/>
        <w:spacing w:line="440" w:lineRule="exact"/>
        <w:ind w:firstLine="567" w:firstLineChars="0"/>
        <w:rPr>
          <w:rFonts w:ascii="宋体" w:hAnsi="宋体"/>
          <w:b/>
          <w:sz w:val="24"/>
        </w:rPr>
      </w:pPr>
      <w:r>
        <w:rPr>
          <w:rFonts w:hint="eastAsia" w:ascii="宋体" w:hAnsi="宋体"/>
          <w:b/>
          <w:sz w:val="24"/>
        </w:rPr>
        <w:t>本资产评估报告仅供委托人和法律、行政法规规定的资产评估报告使用人使用；除此之外，其他任何机构和个人不能成为资产评估报告的使用人。</w:t>
      </w:r>
    </w:p>
    <w:p>
      <w:pPr>
        <w:pStyle w:val="20"/>
        <w:spacing w:line="440" w:lineRule="exact"/>
        <w:ind w:firstLine="567" w:firstLineChars="0"/>
        <w:rPr>
          <w:rFonts w:ascii="宋体" w:hAnsi="宋体"/>
          <w:b/>
          <w:sz w:val="24"/>
        </w:rPr>
      </w:pPr>
      <w:r>
        <w:rPr>
          <w:rFonts w:hint="eastAsia" w:ascii="宋体" w:hAnsi="宋体"/>
          <w:b/>
          <w:sz w:val="24"/>
        </w:rPr>
        <w:t>本资产评估机构及资产评估师提示资产评估报告使用人应当正确理解评估结论，评估结论不等同于评估对象可实现价格，评估结论不应当被认为是对评估对象可实现价格的保证。</w:t>
      </w:r>
    </w:p>
    <w:p>
      <w:pPr>
        <w:pStyle w:val="20"/>
        <w:numPr>
          <w:ilvl w:val="0"/>
          <w:numId w:val="1"/>
        </w:numPr>
        <w:spacing w:line="440" w:lineRule="exact"/>
        <w:ind w:left="0" w:firstLine="567" w:firstLineChars="0"/>
        <w:rPr>
          <w:rFonts w:ascii="宋体" w:hAnsi="宋体"/>
          <w:b/>
          <w:sz w:val="24"/>
        </w:rPr>
      </w:pPr>
      <w:r>
        <w:rPr>
          <w:rFonts w:hint="eastAsia" w:ascii="宋体" w:hAnsi="宋体"/>
          <w:b/>
          <w:sz w:val="24"/>
        </w:rPr>
        <w:t>本资产评估机构及资产评估师遵守国家法律、行政法规和资产评估准则，坚持独立、客观和公正的原则，并对所出具的资产评估报告依法承担责任。</w:t>
      </w:r>
    </w:p>
    <w:p>
      <w:pPr>
        <w:pStyle w:val="20"/>
        <w:numPr>
          <w:ilvl w:val="0"/>
          <w:numId w:val="1"/>
        </w:numPr>
        <w:spacing w:line="440" w:lineRule="exact"/>
        <w:ind w:left="0" w:firstLine="567" w:firstLineChars="0"/>
        <w:rPr>
          <w:rFonts w:ascii="宋体" w:hAnsi="宋体"/>
          <w:b/>
          <w:sz w:val="24"/>
        </w:rPr>
      </w:pPr>
      <w:r>
        <w:rPr>
          <w:rFonts w:hint="eastAsia" w:ascii="宋体" w:hAnsi="宋体"/>
          <w:b/>
          <w:sz w:val="24"/>
        </w:rPr>
        <w:t>本资产评估报告是根据人民法院及相关当事人提供的资料和信息出具，资料和信息的真实性、完整性、合法性对评估结论构成影响，依据同一标准的资产的其他资料或者信息可能得出与本报告不一致的评估结论。</w:t>
      </w:r>
    </w:p>
    <w:p>
      <w:pPr>
        <w:pStyle w:val="20"/>
        <w:numPr>
          <w:ilvl w:val="0"/>
          <w:numId w:val="1"/>
        </w:numPr>
        <w:spacing w:line="440" w:lineRule="exact"/>
        <w:ind w:left="0" w:firstLine="567" w:firstLineChars="0"/>
        <w:rPr>
          <w:rFonts w:ascii="宋体" w:hAnsi="宋体"/>
          <w:b/>
          <w:sz w:val="24"/>
        </w:rPr>
      </w:pPr>
      <w:r>
        <w:rPr>
          <w:rFonts w:hint="eastAsia" w:ascii="宋体" w:hAnsi="宋体"/>
          <w:b/>
          <w:sz w:val="24"/>
        </w:rPr>
        <w:t>本资产评估机构及资产评估师与资产评估报告中的评估对象没有现存或者预期的利益关系；与相关当事人没有现存或者预期的利益关系，对相关当事人不存在偏见。</w:t>
      </w:r>
    </w:p>
    <w:p>
      <w:pPr>
        <w:pStyle w:val="20"/>
        <w:numPr>
          <w:ilvl w:val="0"/>
          <w:numId w:val="1"/>
        </w:numPr>
        <w:spacing w:line="440" w:lineRule="exact"/>
        <w:ind w:left="0" w:firstLine="567" w:firstLineChars="0"/>
        <w:rPr>
          <w:rFonts w:ascii="宋体" w:hAnsi="宋体"/>
          <w:b/>
          <w:sz w:val="24"/>
        </w:rPr>
      </w:pPr>
      <w:r>
        <w:rPr>
          <w:rFonts w:hint="eastAsia" w:ascii="宋体" w:hAnsi="宋体"/>
          <w:b/>
          <w:sz w:val="24"/>
        </w:rPr>
        <w:t>资产评估师已经对资产评估报告中的评估对象及其所涉及资产进行现场调查；我们已经对评估对象及其所涉及资产的法律权属状况给予必要的关注，对评估对象及其所涉及资产的法律权属资料进行了查验，对已经发现的问题进行了如实披露，并且已提请委托人及其他相关当事人完善产权以满足出具资产评估报告的要求。</w:t>
      </w:r>
    </w:p>
    <w:p>
      <w:pPr>
        <w:pStyle w:val="20"/>
        <w:numPr>
          <w:ilvl w:val="0"/>
          <w:numId w:val="1"/>
        </w:numPr>
        <w:spacing w:line="440" w:lineRule="exact"/>
        <w:ind w:left="0" w:firstLine="567" w:firstLineChars="0"/>
        <w:rPr>
          <w:rFonts w:ascii="宋体" w:hAnsi="宋体"/>
          <w:bCs/>
          <w:sz w:val="28"/>
          <w:szCs w:val="28"/>
        </w:rPr>
      </w:pPr>
      <w:r>
        <w:rPr>
          <w:rFonts w:hint="eastAsia" w:ascii="宋体" w:hAnsi="宋体"/>
          <w:b/>
          <w:sz w:val="24"/>
        </w:rPr>
        <w:t>本资产评估机构出具的资产评估报告中的分析、判断和结果受资产评估报告中假设和限制条件的限制，资产评估报告使用人应当充分考虑资产评估报告中载明的假设、限制条件、特别事项说明及其对评估结论的影响。</w:t>
      </w:r>
      <w:bookmarkStart w:id="8" w:name="_Toc532849144"/>
    </w:p>
    <w:p>
      <w:pPr>
        <w:jc w:val="both"/>
        <w:rPr>
          <w:rFonts w:hint="eastAsia" w:asciiTheme="majorEastAsia" w:hAnsiTheme="majorEastAsia" w:eastAsiaTheme="majorEastAsia"/>
          <w:b/>
          <w:spacing w:val="4"/>
          <w:sz w:val="36"/>
          <w:szCs w:val="36"/>
        </w:rPr>
      </w:pPr>
    </w:p>
    <w:p>
      <w:pPr>
        <w:jc w:val="center"/>
        <w:rPr>
          <w:rFonts w:hint="eastAsia" w:asciiTheme="majorEastAsia" w:hAnsiTheme="majorEastAsia" w:eastAsiaTheme="majorEastAsia"/>
          <w:b/>
          <w:spacing w:val="4"/>
          <w:sz w:val="36"/>
          <w:szCs w:val="36"/>
        </w:rPr>
      </w:pPr>
      <w:r>
        <w:rPr>
          <w:rFonts w:hint="eastAsia" w:asciiTheme="majorEastAsia" w:hAnsiTheme="majorEastAsia" w:eastAsiaTheme="majorEastAsia"/>
          <w:b/>
          <w:spacing w:val="4"/>
          <w:sz w:val="36"/>
          <w:szCs w:val="36"/>
          <w:lang w:eastAsia="zh-CN"/>
        </w:rPr>
        <w:t>辽源市龙山区人民法院拟司法执行财产处置</w:t>
      </w:r>
      <w:r>
        <w:rPr>
          <w:rFonts w:hint="eastAsia" w:asciiTheme="majorEastAsia" w:hAnsiTheme="majorEastAsia" w:eastAsiaTheme="majorEastAsia"/>
          <w:b/>
          <w:spacing w:val="4"/>
          <w:sz w:val="36"/>
          <w:szCs w:val="36"/>
        </w:rPr>
        <w:t>涉及的</w:t>
      </w:r>
    </w:p>
    <w:p>
      <w:pPr>
        <w:jc w:val="center"/>
        <w:rPr>
          <w:rFonts w:hint="eastAsia" w:asciiTheme="majorEastAsia" w:hAnsiTheme="majorEastAsia" w:eastAsiaTheme="majorEastAsia"/>
          <w:b/>
          <w:spacing w:val="4"/>
          <w:sz w:val="36"/>
          <w:szCs w:val="36"/>
        </w:rPr>
      </w:pPr>
      <w:r>
        <w:rPr>
          <w:rFonts w:hint="eastAsia" w:asciiTheme="majorEastAsia" w:hAnsiTheme="majorEastAsia" w:eastAsiaTheme="majorEastAsia"/>
          <w:b/>
          <w:spacing w:val="4"/>
          <w:sz w:val="36"/>
          <w:szCs w:val="36"/>
          <w:lang w:eastAsia="zh-CN"/>
        </w:rPr>
        <w:t>赵利辉住宅价值</w:t>
      </w:r>
      <w:r>
        <w:rPr>
          <w:rFonts w:hint="eastAsia" w:asciiTheme="majorEastAsia" w:hAnsiTheme="majorEastAsia" w:eastAsiaTheme="majorEastAsia"/>
          <w:b/>
          <w:spacing w:val="4"/>
          <w:sz w:val="36"/>
          <w:szCs w:val="36"/>
        </w:rPr>
        <w:t>资产评估报告摘要</w:t>
      </w:r>
      <w:bookmarkEnd w:id="8"/>
    </w:p>
    <w:p>
      <w:pPr>
        <w:keepNext w:val="0"/>
        <w:keepLines w:val="0"/>
        <w:pageBreakBefore w:val="0"/>
        <w:kinsoku/>
        <w:wordWrap/>
        <w:overflowPunct/>
        <w:topLinePunct w:val="0"/>
        <w:bidi w:val="0"/>
        <w:adjustRightInd/>
        <w:spacing w:line="400" w:lineRule="exact"/>
        <w:jc w:val="center"/>
        <w:rPr>
          <w:rFonts w:hint="eastAsia" w:ascii="黑体" w:eastAsia="黑体"/>
          <w:b/>
          <w:color w:val="FF0000"/>
          <w:sz w:val="52"/>
          <w:szCs w:val="52"/>
          <w:lang w:eastAsia="zh-CN"/>
        </w:rPr>
      </w:pPr>
      <w:r>
        <w:rPr>
          <w:rFonts w:hint="eastAsia" w:ascii="黑体" w:eastAsia="黑体"/>
          <w:szCs w:val="21"/>
          <w:lang w:eastAsia="zh-CN"/>
        </w:rPr>
        <w:t>辽新安评报字[202</w:t>
      </w:r>
      <w:r>
        <w:rPr>
          <w:rFonts w:hint="eastAsia" w:ascii="黑体" w:eastAsia="黑体"/>
          <w:szCs w:val="21"/>
          <w:lang w:val="en-US" w:eastAsia="zh-CN"/>
        </w:rPr>
        <w:t>2</w:t>
      </w:r>
      <w:r>
        <w:rPr>
          <w:rFonts w:hint="eastAsia" w:ascii="黑体" w:eastAsia="黑体"/>
          <w:szCs w:val="21"/>
          <w:lang w:eastAsia="zh-CN"/>
        </w:rPr>
        <w:t>]第</w:t>
      </w:r>
      <w:r>
        <w:rPr>
          <w:rFonts w:hint="eastAsia" w:ascii="黑体" w:eastAsia="黑体"/>
          <w:szCs w:val="21"/>
          <w:highlight w:val="none"/>
          <w:lang w:val="en-US" w:eastAsia="zh-CN"/>
        </w:rPr>
        <w:t>025</w:t>
      </w:r>
      <w:r>
        <w:rPr>
          <w:rFonts w:hint="eastAsia" w:ascii="黑体" w:eastAsia="黑体"/>
          <w:szCs w:val="21"/>
          <w:lang w:eastAsia="zh-CN"/>
        </w:rPr>
        <w:t>号</w:t>
      </w:r>
    </w:p>
    <w:p>
      <w:pPr>
        <w:keepNext w:val="0"/>
        <w:keepLines w:val="0"/>
        <w:pageBreakBefore w:val="0"/>
        <w:widowControl w:val="0"/>
        <w:kinsoku/>
        <w:wordWrap/>
        <w:overflowPunct/>
        <w:topLinePunct w:val="0"/>
        <w:autoSpaceDE/>
        <w:autoSpaceDN/>
        <w:bidi w:val="0"/>
        <w:adjustRightInd/>
        <w:spacing w:line="390" w:lineRule="exact"/>
        <w:textAlignment w:val="auto"/>
        <w:rPr>
          <w:rFonts w:asciiTheme="majorEastAsia" w:hAnsiTheme="majorEastAsia" w:eastAsiaTheme="majorEastAsia"/>
          <w:b/>
          <w:sz w:val="24"/>
        </w:rPr>
      </w:pPr>
      <w:r>
        <w:rPr>
          <w:rFonts w:hint="eastAsia" w:asciiTheme="majorEastAsia" w:hAnsiTheme="majorEastAsia" w:eastAsiaTheme="majorEastAsia"/>
          <w:b/>
          <w:sz w:val="24"/>
          <w:lang w:eastAsia="zh-CN"/>
        </w:rPr>
        <w:t>辽源市龙山区人民法院</w:t>
      </w:r>
      <w:r>
        <w:rPr>
          <w:rFonts w:hint="eastAsia" w:asciiTheme="majorEastAsia" w:hAnsiTheme="majorEastAsia" w:eastAsiaTheme="majorEastAsia"/>
          <w:b/>
          <w:sz w:val="24"/>
        </w:rPr>
        <w:t>司法辅助办公室：</w:t>
      </w:r>
    </w:p>
    <w:p>
      <w:pPr>
        <w:keepNext w:val="0"/>
        <w:keepLines w:val="0"/>
        <w:pageBreakBefore w:val="0"/>
        <w:widowControl w:val="0"/>
        <w:kinsoku/>
        <w:wordWrap/>
        <w:overflowPunct/>
        <w:topLinePunct w:val="0"/>
        <w:autoSpaceDE/>
        <w:autoSpaceDN/>
        <w:bidi w:val="0"/>
        <w:adjustRightInd/>
        <w:spacing w:line="390" w:lineRule="exact"/>
        <w:ind w:firstLine="480" w:firstLineChars="200"/>
        <w:textAlignment w:val="auto"/>
        <w:rPr>
          <w:rFonts w:asciiTheme="majorEastAsia" w:hAnsiTheme="majorEastAsia" w:eastAsiaTheme="majorEastAsia"/>
          <w:sz w:val="24"/>
        </w:rPr>
      </w:pPr>
      <w:r>
        <w:rPr>
          <w:rFonts w:hint="eastAsia" w:asciiTheme="majorEastAsia" w:hAnsiTheme="majorEastAsia" w:eastAsiaTheme="majorEastAsia"/>
          <w:sz w:val="24"/>
        </w:rPr>
        <w:t>辽源新安资产评估事务所（普通合伙）接受</w:t>
      </w:r>
      <w:r>
        <w:rPr>
          <w:rFonts w:hint="eastAsia" w:asciiTheme="majorEastAsia" w:hAnsiTheme="majorEastAsia" w:eastAsiaTheme="majorEastAsia"/>
          <w:sz w:val="24"/>
          <w:lang w:eastAsia="zh-CN"/>
        </w:rPr>
        <w:t>辽源市龙山区人民法院司法辅助办公室</w:t>
      </w:r>
      <w:r>
        <w:rPr>
          <w:rFonts w:hint="eastAsia" w:asciiTheme="majorEastAsia" w:hAnsiTheme="majorEastAsia" w:eastAsiaTheme="majorEastAsia"/>
          <w:sz w:val="24"/>
        </w:rPr>
        <w:t>的委托，</w:t>
      </w:r>
      <w:r>
        <w:rPr>
          <w:rFonts w:hint="eastAsia" w:asciiTheme="majorEastAsia" w:hAnsiTheme="majorEastAsia" w:eastAsiaTheme="majorEastAsia"/>
          <w:sz w:val="24"/>
          <w:lang w:eastAsia="zh-CN"/>
        </w:rPr>
        <w:t>遵守</w:t>
      </w:r>
      <w:r>
        <w:rPr>
          <w:rFonts w:hint="eastAsia" w:asciiTheme="majorEastAsia" w:hAnsiTheme="majorEastAsia" w:eastAsiaTheme="majorEastAsia"/>
          <w:sz w:val="24"/>
        </w:rPr>
        <w:t>国家关于资产评估的有关法律</w:t>
      </w:r>
      <w:r>
        <w:rPr>
          <w:rFonts w:hint="eastAsia" w:asciiTheme="majorEastAsia" w:hAnsiTheme="majorEastAsia" w:eastAsiaTheme="majorEastAsia"/>
          <w:sz w:val="24"/>
          <w:lang w:eastAsia="zh-CN"/>
        </w:rPr>
        <w:t>及行政</w:t>
      </w:r>
      <w:r>
        <w:rPr>
          <w:rFonts w:hint="eastAsia" w:asciiTheme="majorEastAsia" w:hAnsiTheme="majorEastAsia" w:eastAsiaTheme="majorEastAsia"/>
          <w:sz w:val="24"/>
        </w:rPr>
        <w:t>法规和</w:t>
      </w:r>
      <w:r>
        <w:rPr>
          <w:rFonts w:hint="eastAsia" w:asciiTheme="majorEastAsia" w:hAnsiTheme="majorEastAsia" w:eastAsiaTheme="majorEastAsia"/>
          <w:sz w:val="24"/>
          <w:lang w:eastAsia="zh-CN"/>
        </w:rPr>
        <w:t>司法解释及</w:t>
      </w:r>
      <w:r>
        <w:rPr>
          <w:rFonts w:hint="eastAsia" w:asciiTheme="majorEastAsia" w:hAnsiTheme="majorEastAsia" w:eastAsiaTheme="majorEastAsia"/>
          <w:sz w:val="24"/>
        </w:rPr>
        <w:t>评估准则，</w:t>
      </w:r>
      <w:r>
        <w:rPr>
          <w:rFonts w:hint="eastAsia" w:asciiTheme="majorEastAsia" w:hAnsiTheme="majorEastAsia" w:eastAsiaTheme="majorEastAsia"/>
          <w:sz w:val="24"/>
          <w:lang w:eastAsia="zh-CN"/>
        </w:rPr>
        <w:t>坚持</w:t>
      </w:r>
      <w:r>
        <w:rPr>
          <w:rFonts w:hint="eastAsia" w:asciiTheme="majorEastAsia" w:hAnsiTheme="majorEastAsia" w:eastAsiaTheme="majorEastAsia"/>
          <w:sz w:val="24"/>
        </w:rPr>
        <w:t>“独立、客观、公正”的评估原则，按照公认的资产评估方法，</w:t>
      </w:r>
      <w:r>
        <w:rPr>
          <w:rFonts w:hint="eastAsia" w:asciiTheme="majorEastAsia" w:hAnsiTheme="majorEastAsia" w:eastAsiaTheme="majorEastAsia"/>
          <w:sz w:val="24"/>
          <w:lang w:eastAsia="zh-CN"/>
        </w:rPr>
        <w:t>履行必要的评估程序，</w:t>
      </w:r>
      <w:r>
        <w:rPr>
          <w:rFonts w:hint="eastAsia" w:asciiTheme="majorEastAsia" w:hAnsiTheme="majorEastAsia" w:eastAsiaTheme="majorEastAsia"/>
          <w:sz w:val="24"/>
        </w:rPr>
        <w:t>对</w:t>
      </w:r>
      <w:r>
        <w:rPr>
          <w:rFonts w:hint="eastAsia" w:asciiTheme="majorEastAsia" w:hAnsiTheme="majorEastAsia" w:eastAsiaTheme="majorEastAsia"/>
          <w:sz w:val="24"/>
          <w:lang w:eastAsia="zh-CN"/>
        </w:rPr>
        <w:t>辽源市龙山区人民法院司法辅助办公室拟司法执行财产处置</w:t>
      </w:r>
      <w:r>
        <w:rPr>
          <w:rFonts w:hint="eastAsia" w:asciiTheme="majorEastAsia" w:hAnsiTheme="majorEastAsia" w:eastAsiaTheme="majorEastAsia"/>
          <w:sz w:val="24"/>
        </w:rPr>
        <w:t>事宜涉及的</w:t>
      </w:r>
      <w:r>
        <w:rPr>
          <w:rFonts w:hint="eastAsia" w:asciiTheme="majorEastAsia" w:hAnsiTheme="majorEastAsia" w:eastAsiaTheme="majorEastAsia"/>
          <w:sz w:val="24"/>
          <w:lang w:eastAsia="zh-CN"/>
        </w:rPr>
        <w:t>赵利辉拥有的位于本市房开9403号楼-102室（建筑面积48.29平方米）、房开9403号楼-201室（建筑面积115.2平方米）</w:t>
      </w:r>
      <w:r>
        <w:rPr>
          <w:rFonts w:hint="eastAsia" w:asciiTheme="majorEastAsia" w:hAnsiTheme="majorEastAsia" w:eastAsiaTheme="majorEastAsia"/>
          <w:sz w:val="24"/>
          <w:lang w:val="en-US" w:eastAsia="zh-CN"/>
        </w:rPr>
        <w:t>2</w:t>
      </w:r>
      <w:r>
        <w:rPr>
          <w:rFonts w:hint="eastAsia" w:asciiTheme="majorEastAsia" w:hAnsiTheme="majorEastAsia" w:eastAsiaTheme="majorEastAsia"/>
          <w:sz w:val="24"/>
          <w:lang w:eastAsia="zh-CN"/>
        </w:rPr>
        <w:t>处</w:t>
      </w:r>
      <w:r>
        <w:rPr>
          <w:rFonts w:hint="eastAsia" w:asciiTheme="majorEastAsia" w:hAnsiTheme="majorEastAsia" w:eastAsiaTheme="majorEastAsia"/>
          <w:sz w:val="24"/>
          <w:lang w:val="en-US" w:eastAsia="zh-CN"/>
        </w:rPr>
        <w:t>住宅用房</w:t>
      </w:r>
      <w:r>
        <w:rPr>
          <w:rFonts w:hint="eastAsia" w:asciiTheme="majorEastAsia" w:hAnsiTheme="majorEastAsia" w:eastAsiaTheme="majorEastAsia"/>
          <w:sz w:val="24"/>
          <w:lang w:eastAsia="zh-CN"/>
        </w:rPr>
        <w:t>，</w:t>
      </w:r>
      <w:r>
        <w:rPr>
          <w:rFonts w:hint="eastAsia" w:asciiTheme="majorEastAsia" w:hAnsiTheme="majorEastAsia" w:eastAsiaTheme="majorEastAsia"/>
          <w:sz w:val="24"/>
        </w:rPr>
        <w:t>在评估基准日二〇</w:t>
      </w:r>
      <w:r>
        <w:rPr>
          <w:rFonts w:hint="eastAsia" w:asciiTheme="majorEastAsia" w:hAnsiTheme="majorEastAsia" w:eastAsiaTheme="majorEastAsia"/>
          <w:sz w:val="24"/>
          <w:lang w:eastAsia="zh-CN"/>
        </w:rPr>
        <w:t>二二年二月二十三日</w:t>
      </w:r>
      <w:r>
        <w:rPr>
          <w:rFonts w:hint="eastAsia" w:asciiTheme="majorEastAsia" w:hAnsiTheme="majorEastAsia" w:eastAsiaTheme="majorEastAsia"/>
          <w:sz w:val="24"/>
        </w:rPr>
        <w:t>的市场价值进行了评估。现将资产评估结论情况摘要如下：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175"/>
        <w:textAlignment w:val="auto"/>
        <w:rPr>
          <w:rFonts w:hint="eastAsia" w:asciiTheme="majorEastAsia" w:hAnsiTheme="majorEastAsia" w:eastAsiaTheme="majorEastAsia"/>
          <w:sz w:val="24"/>
          <w:lang w:eastAsia="zh-CN"/>
        </w:rPr>
      </w:pPr>
      <w:r>
        <w:rPr>
          <w:rFonts w:hint="eastAsia" w:asciiTheme="majorEastAsia" w:hAnsiTheme="majorEastAsia" w:eastAsiaTheme="majorEastAsia"/>
          <w:sz w:val="24"/>
        </w:rPr>
        <w:t>一、委托人：</w:t>
      </w:r>
      <w:r>
        <w:rPr>
          <w:rFonts w:hint="eastAsia" w:asciiTheme="majorEastAsia" w:hAnsiTheme="majorEastAsia" w:eastAsiaTheme="majorEastAsia"/>
          <w:sz w:val="24"/>
          <w:lang w:eastAsia="zh-CN"/>
        </w:rPr>
        <w:t>辽源市龙山区人民法院司法辅助办公室</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175"/>
        <w:textAlignment w:val="auto"/>
        <w:rPr>
          <w:rFonts w:hint="eastAsia" w:asciiTheme="majorEastAsia" w:hAnsiTheme="majorEastAsia" w:eastAsiaTheme="majorEastAsia"/>
          <w:sz w:val="24"/>
          <w:lang w:eastAsia="zh-CN"/>
        </w:rPr>
      </w:pPr>
      <w:r>
        <w:rPr>
          <w:rFonts w:hint="eastAsia" w:asciiTheme="majorEastAsia" w:hAnsiTheme="majorEastAsia" w:eastAsiaTheme="majorEastAsia"/>
          <w:sz w:val="24"/>
        </w:rPr>
        <w:t>二、产权持有人：</w:t>
      </w:r>
      <w:r>
        <w:rPr>
          <w:rFonts w:hint="eastAsia" w:asciiTheme="majorEastAsia" w:hAnsiTheme="majorEastAsia" w:eastAsiaTheme="majorEastAsia"/>
          <w:sz w:val="24"/>
          <w:lang w:eastAsia="zh-CN"/>
        </w:rPr>
        <w:t>赵利辉</w:t>
      </w:r>
    </w:p>
    <w:p>
      <w:pPr>
        <w:keepNext w:val="0"/>
        <w:keepLines w:val="0"/>
        <w:pageBreakBefore w:val="0"/>
        <w:widowControl w:val="0"/>
        <w:kinsoku/>
        <w:wordWrap/>
        <w:overflowPunct/>
        <w:topLinePunct w:val="0"/>
        <w:autoSpaceDE/>
        <w:autoSpaceDN/>
        <w:bidi w:val="0"/>
        <w:adjustRightInd/>
        <w:snapToGrid/>
        <w:spacing w:line="400" w:lineRule="exact"/>
        <w:ind w:firstLine="406" w:firstLineChars="175"/>
        <w:textAlignment w:val="auto"/>
        <w:rPr>
          <w:rFonts w:asciiTheme="majorEastAsia" w:hAnsiTheme="majorEastAsia" w:eastAsiaTheme="majorEastAsia"/>
          <w:spacing w:val="-4"/>
          <w:sz w:val="24"/>
        </w:rPr>
      </w:pPr>
      <w:r>
        <w:rPr>
          <w:rFonts w:hint="eastAsia" w:asciiTheme="majorEastAsia" w:hAnsiTheme="majorEastAsia" w:eastAsiaTheme="majorEastAsia"/>
          <w:spacing w:val="-4"/>
          <w:sz w:val="24"/>
        </w:rPr>
        <w:t>三、评估目的：</w:t>
      </w:r>
      <w:bookmarkStart w:id="9" w:name="OLE_LINK5"/>
      <w:r>
        <w:rPr>
          <w:rFonts w:hint="eastAsia" w:asciiTheme="majorEastAsia" w:hAnsiTheme="majorEastAsia" w:eastAsiaTheme="majorEastAsia"/>
          <w:sz w:val="24"/>
        </w:rPr>
        <w:t>为</w:t>
      </w:r>
      <w:r>
        <w:rPr>
          <w:rFonts w:hint="eastAsia" w:asciiTheme="majorEastAsia" w:hAnsiTheme="majorEastAsia" w:eastAsiaTheme="majorEastAsia"/>
          <w:sz w:val="24"/>
          <w:lang w:eastAsia="zh-CN"/>
        </w:rPr>
        <w:t>辽源市龙山区人民法院司法辅助办公室拟司法执行财产处置</w:t>
      </w:r>
      <w:r>
        <w:rPr>
          <w:rFonts w:hint="eastAsia" w:asciiTheme="majorEastAsia" w:hAnsiTheme="majorEastAsia" w:eastAsiaTheme="majorEastAsia"/>
          <w:sz w:val="24"/>
        </w:rPr>
        <w:t>涉及的</w:t>
      </w:r>
      <w:r>
        <w:rPr>
          <w:rFonts w:hint="eastAsia" w:asciiTheme="majorEastAsia" w:hAnsiTheme="majorEastAsia" w:eastAsiaTheme="majorEastAsia"/>
          <w:sz w:val="24"/>
          <w:lang w:eastAsia="zh-CN"/>
        </w:rPr>
        <w:t>赵利辉住宅</w:t>
      </w:r>
      <w:r>
        <w:rPr>
          <w:rFonts w:hint="eastAsia" w:asciiTheme="majorEastAsia" w:hAnsiTheme="majorEastAsia" w:eastAsiaTheme="majorEastAsia"/>
          <w:sz w:val="24"/>
        </w:rPr>
        <w:t>提供价值参考</w:t>
      </w:r>
      <w:bookmarkEnd w:id="9"/>
      <w:r>
        <w:rPr>
          <w:rFonts w:hint="eastAsia" w:asciiTheme="majorEastAsia" w:hAnsiTheme="majorEastAsia" w:eastAsiaTheme="majorEastAsia"/>
          <w:sz w:val="24"/>
        </w:rPr>
        <w:t>意见。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175"/>
        <w:textAlignment w:val="auto"/>
        <w:rPr>
          <w:rFonts w:asciiTheme="majorEastAsia" w:hAnsiTheme="majorEastAsia" w:eastAsiaTheme="majorEastAsia"/>
          <w:sz w:val="24"/>
        </w:rPr>
      </w:pPr>
      <w:r>
        <w:rPr>
          <w:rFonts w:hint="eastAsia" w:asciiTheme="majorEastAsia" w:hAnsiTheme="majorEastAsia" w:eastAsiaTheme="majorEastAsia"/>
          <w:sz w:val="24"/>
        </w:rPr>
        <w:t>四、评估对象和评估范围：</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175"/>
        <w:textAlignment w:val="auto"/>
        <w:rPr>
          <w:rFonts w:hint="eastAsia" w:asciiTheme="majorEastAsia" w:hAnsiTheme="majorEastAsia" w:eastAsiaTheme="majorEastAsia"/>
          <w:sz w:val="24"/>
        </w:rPr>
      </w:pPr>
      <w:r>
        <w:rPr>
          <w:rFonts w:hint="eastAsia" w:asciiTheme="majorEastAsia" w:hAnsiTheme="majorEastAsia" w:eastAsiaTheme="majorEastAsia"/>
          <w:sz w:val="24"/>
        </w:rPr>
        <w:t>根据评估委托书和相关当事人的指认，评估对象为委托人司法执行财产处置事宜涉及的</w:t>
      </w:r>
      <w:r>
        <w:rPr>
          <w:rFonts w:hint="eastAsia" w:asciiTheme="majorEastAsia" w:hAnsiTheme="majorEastAsia" w:eastAsiaTheme="majorEastAsia"/>
          <w:sz w:val="24"/>
          <w:lang w:eastAsia="zh-CN"/>
        </w:rPr>
        <w:t>赵利辉</w:t>
      </w:r>
      <w:r>
        <w:rPr>
          <w:rFonts w:hint="eastAsia" w:asciiTheme="majorEastAsia" w:hAnsiTheme="majorEastAsia" w:eastAsiaTheme="majorEastAsia"/>
          <w:sz w:val="24"/>
        </w:rPr>
        <w:t>的</w:t>
      </w:r>
      <w:r>
        <w:rPr>
          <w:rFonts w:hint="eastAsia" w:asciiTheme="majorEastAsia" w:hAnsiTheme="majorEastAsia" w:eastAsiaTheme="majorEastAsia"/>
          <w:sz w:val="24"/>
          <w:lang w:val="en-US" w:eastAsia="zh-CN"/>
        </w:rPr>
        <w:t>2处住宅用房</w:t>
      </w:r>
      <w:r>
        <w:rPr>
          <w:rFonts w:hint="eastAsia" w:asciiTheme="majorEastAsia" w:hAnsiTheme="majorEastAsia" w:eastAsiaTheme="majorEastAsia"/>
          <w:sz w:val="24"/>
        </w:rPr>
        <w:t>在评估基准日的市场价值。</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175"/>
        <w:textAlignment w:val="auto"/>
        <w:rPr>
          <w:rFonts w:hint="eastAsia" w:asciiTheme="majorEastAsia" w:hAnsiTheme="majorEastAsia" w:eastAsiaTheme="majorEastAsia"/>
          <w:sz w:val="24"/>
          <w:lang w:val="en-US" w:eastAsia="zh-CN"/>
        </w:rPr>
      </w:pPr>
      <w:r>
        <w:rPr>
          <w:rFonts w:hint="eastAsia" w:asciiTheme="majorEastAsia" w:hAnsiTheme="majorEastAsia" w:eastAsiaTheme="majorEastAsia"/>
          <w:sz w:val="24"/>
        </w:rPr>
        <w:t>评估范围：委托人申报的位于本市房开9403号楼-102室（建筑面积48.29平方米）、房开9403号楼-201室（建筑面积115.2平方米）2处住宅用房</w:t>
      </w:r>
      <w:r>
        <w:rPr>
          <w:rFonts w:hint="eastAsia" w:asciiTheme="majorEastAsia" w:hAnsiTheme="majorEastAsia" w:eastAsiaTheme="majorEastAsia"/>
          <w:sz w:val="24"/>
          <w:lang w:val="en-US" w:eastAsia="zh-CN"/>
        </w:rPr>
        <w:t>，</w:t>
      </w:r>
      <w:r>
        <w:rPr>
          <w:rFonts w:hint="eastAsia" w:asciiTheme="majorEastAsia" w:hAnsiTheme="majorEastAsia" w:eastAsiaTheme="majorEastAsia"/>
          <w:sz w:val="24"/>
          <w:lang w:eastAsia="zh-CN"/>
        </w:rPr>
        <w:t>包含房屋分摊的土地使用权及不可移动的装修</w:t>
      </w:r>
      <w:r>
        <w:rPr>
          <w:rFonts w:hint="eastAsia" w:asciiTheme="majorEastAsia" w:hAnsiTheme="majorEastAsia" w:eastAsiaTheme="majorEastAsia"/>
          <w:sz w:val="24"/>
          <w:lang w:val="en-US" w:eastAsia="zh-CN"/>
        </w:rPr>
        <w:t>。</w:t>
      </w:r>
    </w:p>
    <w:p>
      <w:pPr>
        <w:keepNext w:val="0"/>
        <w:keepLines w:val="0"/>
        <w:pageBreakBefore w:val="0"/>
        <w:widowControl w:val="0"/>
        <w:kinsoku/>
        <w:wordWrap/>
        <w:overflowPunct/>
        <w:topLinePunct w:val="0"/>
        <w:autoSpaceDE/>
        <w:autoSpaceDN/>
        <w:bidi w:val="0"/>
        <w:adjustRightInd/>
        <w:spacing w:line="390" w:lineRule="exact"/>
        <w:ind w:firstLine="408" w:firstLineChars="175"/>
        <w:textAlignment w:val="auto"/>
        <w:rPr>
          <w:rFonts w:asciiTheme="majorEastAsia" w:hAnsiTheme="majorEastAsia" w:eastAsiaTheme="majorEastAsia"/>
          <w:b/>
          <w:spacing w:val="-4"/>
          <w:sz w:val="24"/>
        </w:rPr>
      </w:pPr>
      <w:r>
        <w:rPr>
          <w:rFonts w:hint="eastAsia" w:asciiTheme="majorEastAsia" w:hAnsiTheme="majorEastAsia" w:eastAsiaTheme="majorEastAsia"/>
          <w:b/>
          <w:spacing w:val="-4"/>
          <w:sz w:val="24"/>
        </w:rPr>
        <w:t>本次评估对象及纳入评估范围的资产与经济行为涉及的评估对象和资产范围一致。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175"/>
        <w:textAlignment w:val="auto"/>
        <w:rPr>
          <w:rFonts w:hint="eastAsia" w:asciiTheme="majorEastAsia" w:hAnsiTheme="majorEastAsia" w:eastAsiaTheme="majorEastAsia"/>
          <w:sz w:val="24"/>
          <w:lang w:eastAsia="zh-CN"/>
        </w:rPr>
      </w:pPr>
      <w:r>
        <w:rPr>
          <w:rFonts w:hint="eastAsia" w:asciiTheme="majorEastAsia" w:hAnsiTheme="majorEastAsia" w:eastAsiaTheme="majorEastAsia"/>
          <w:sz w:val="24"/>
        </w:rPr>
        <w:t>五、评估基准日：</w:t>
      </w:r>
      <w:r>
        <w:rPr>
          <w:rFonts w:hint="eastAsia" w:asciiTheme="majorEastAsia" w:hAnsiTheme="majorEastAsia" w:eastAsiaTheme="majorEastAsia"/>
          <w:sz w:val="24"/>
          <w:lang w:eastAsia="zh-CN"/>
        </w:rPr>
        <w:t>二〇二二年二月二十三日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175"/>
        <w:textAlignment w:val="auto"/>
        <w:rPr>
          <w:rFonts w:asciiTheme="majorEastAsia" w:hAnsiTheme="majorEastAsia" w:eastAsiaTheme="majorEastAsia"/>
          <w:sz w:val="24"/>
        </w:rPr>
      </w:pPr>
      <w:r>
        <w:rPr>
          <w:rFonts w:hint="eastAsia" w:asciiTheme="majorEastAsia" w:hAnsiTheme="majorEastAsia" w:eastAsiaTheme="majorEastAsia"/>
          <w:sz w:val="24"/>
        </w:rPr>
        <w:t>六、价值类型：根据本次评估目的和委估资产的特点，本次资产评估选取的价值类型为市场价值类型。资产评估中的市场价值是指自愿买方和自愿卖方在各自理性行事且未受任何强迫的情况下，评估对象在评估基准日进行正常公平交易的价值估计数额。</w:t>
      </w:r>
    </w:p>
    <w:p>
      <w:pPr>
        <w:keepNext w:val="0"/>
        <w:keepLines w:val="0"/>
        <w:pageBreakBefore w:val="0"/>
        <w:widowControl w:val="0"/>
        <w:kinsoku/>
        <w:wordWrap/>
        <w:overflowPunct/>
        <w:topLinePunct w:val="0"/>
        <w:autoSpaceDE/>
        <w:autoSpaceDN/>
        <w:bidi w:val="0"/>
        <w:adjustRightInd/>
        <w:spacing w:line="390" w:lineRule="exact"/>
        <w:ind w:firstLine="420" w:firstLineChars="175"/>
        <w:textAlignment w:val="auto"/>
        <w:rPr>
          <w:rFonts w:asciiTheme="majorEastAsia" w:hAnsiTheme="majorEastAsia" w:eastAsiaTheme="majorEastAsia"/>
          <w:sz w:val="24"/>
        </w:rPr>
      </w:pPr>
      <w:r>
        <w:rPr>
          <w:rFonts w:hint="eastAsia" w:asciiTheme="majorEastAsia" w:hAnsiTheme="majorEastAsia" w:eastAsiaTheme="majorEastAsia"/>
          <w:sz w:val="24"/>
        </w:rPr>
        <w:t>七、评估方法：</w:t>
      </w:r>
      <w:r>
        <w:rPr>
          <w:rFonts w:hint="eastAsia" w:asciiTheme="majorEastAsia" w:hAnsiTheme="majorEastAsia" w:eastAsiaTheme="majorEastAsia"/>
          <w:color w:val="000000"/>
          <w:sz w:val="24"/>
        </w:rPr>
        <w:t>根据本次资产评估目的和委估资产的特点、可获得的评估资料等因素，本次</w:t>
      </w:r>
      <w:r>
        <w:rPr>
          <w:rFonts w:hint="eastAsia" w:asciiTheme="majorEastAsia" w:hAnsiTheme="majorEastAsia" w:eastAsiaTheme="majorEastAsia"/>
          <w:color w:val="000000"/>
          <w:sz w:val="24"/>
          <w:lang w:eastAsia="zh-CN"/>
        </w:rPr>
        <w:t>住宅用房</w:t>
      </w:r>
      <w:r>
        <w:rPr>
          <w:rFonts w:hint="eastAsia" w:asciiTheme="majorEastAsia" w:hAnsiTheme="majorEastAsia" w:eastAsiaTheme="majorEastAsia"/>
          <w:color w:val="000000"/>
          <w:sz w:val="24"/>
        </w:rPr>
        <w:t>的评估采用市场法</w:t>
      </w:r>
      <w:r>
        <w:rPr>
          <w:rFonts w:hint="eastAsia" w:asciiTheme="majorEastAsia" w:hAnsiTheme="majorEastAsia" w:eastAsiaTheme="majorEastAsia"/>
          <w:sz w:val="24"/>
        </w:rPr>
        <w:t>。</w:t>
      </w:r>
    </w:p>
    <w:p>
      <w:pPr>
        <w:keepNext w:val="0"/>
        <w:keepLines w:val="0"/>
        <w:pageBreakBefore w:val="0"/>
        <w:widowControl w:val="0"/>
        <w:kinsoku/>
        <w:wordWrap/>
        <w:overflowPunct/>
        <w:topLinePunct w:val="0"/>
        <w:autoSpaceDE/>
        <w:autoSpaceDN/>
        <w:bidi w:val="0"/>
        <w:adjustRightInd/>
        <w:spacing w:line="390" w:lineRule="exact"/>
        <w:ind w:firstLine="420" w:firstLineChars="175"/>
        <w:textAlignment w:val="auto"/>
        <w:rPr>
          <w:rFonts w:asciiTheme="majorEastAsia" w:hAnsiTheme="majorEastAsia" w:eastAsiaTheme="majorEastAsia"/>
          <w:sz w:val="24"/>
        </w:rPr>
      </w:pPr>
      <w:r>
        <w:rPr>
          <w:rFonts w:hint="eastAsia" w:asciiTheme="majorEastAsia" w:hAnsiTheme="majorEastAsia" w:eastAsiaTheme="majorEastAsia"/>
          <w:sz w:val="24"/>
        </w:rPr>
        <w:t>八、评估结论：</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Theme="majorEastAsia" w:hAnsiTheme="majorEastAsia" w:eastAsiaTheme="majorEastAsia"/>
          <w:sz w:val="18"/>
          <w:szCs w:val="18"/>
        </w:rPr>
      </w:pPr>
      <w:r>
        <w:rPr>
          <w:rFonts w:hint="eastAsia" w:asciiTheme="majorEastAsia" w:hAnsiTheme="majorEastAsia" w:eastAsiaTheme="majorEastAsia"/>
          <w:sz w:val="24"/>
        </w:rPr>
        <w:t>我们在委托人配合下，对评估对象进行了必要的产权查验和实地勘察，对委托评估的资产所涉及的各项数据实施市场调查和询证，并完成了准则要求的评估程序，在此基础上，我们对</w:t>
      </w:r>
      <w:r>
        <w:rPr>
          <w:rFonts w:hint="eastAsia" w:asciiTheme="majorEastAsia" w:hAnsiTheme="majorEastAsia" w:eastAsiaTheme="majorEastAsia"/>
          <w:sz w:val="24"/>
          <w:lang w:eastAsia="zh-CN"/>
        </w:rPr>
        <w:t>辽源市龙山区人民法院司法辅助办公室</w:t>
      </w:r>
      <w:r>
        <w:rPr>
          <w:rFonts w:hint="eastAsia" w:asciiTheme="majorEastAsia" w:hAnsiTheme="majorEastAsia" w:eastAsiaTheme="majorEastAsia"/>
          <w:sz w:val="24"/>
        </w:rPr>
        <w:t>委托评估的资产在评估基准日202</w:t>
      </w:r>
      <w:r>
        <w:rPr>
          <w:rFonts w:hint="eastAsia" w:asciiTheme="majorEastAsia" w:hAnsiTheme="majorEastAsia" w:eastAsiaTheme="majorEastAsia"/>
          <w:sz w:val="24"/>
          <w:lang w:val="en-US" w:eastAsia="zh-CN"/>
        </w:rPr>
        <w:t>2</w:t>
      </w:r>
      <w:r>
        <w:rPr>
          <w:rFonts w:hint="eastAsia" w:asciiTheme="majorEastAsia" w:hAnsiTheme="majorEastAsia" w:eastAsiaTheme="majorEastAsia"/>
          <w:sz w:val="24"/>
        </w:rPr>
        <w:t>年</w:t>
      </w:r>
      <w:r>
        <w:rPr>
          <w:rFonts w:hint="eastAsia" w:asciiTheme="majorEastAsia" w:hAnsiTheme="majorEastAsia" w:eastAsiaTheme="majorEastAsia"/>
          <w:sz w:val="24"/>
          <w:lang w:val="en-US" w:eastAsia="zh-CN"/>
        </w:rPr>
        <w:t>2</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23</w:t>
      </w:r>
      <w:r>
        <w:rPr>
          <w:rFonts w:hint="eastAsia" w:asciiTheme="majorEastAsia" w:hAnsiTheme="majorEastAsia" w:eastAsiaTheme="majorEastAsia"/>
          <w:sz w:val="24"/>
        </w:rPr>
        <w:t>日特定目的下的价值进行分析、估算并发表专业意见。评估值人民币大写：</w:t>
      </w:r>
      <w:r>
        <w:rPr>
          <w:rFonts w:hint="eastAsia" w:asciiTheme="majorEastAsia" w:hAnsiTheme="majorEastAsia" w:eastAsiaTheme="majorEastAsia"/>
          <w:sz w:val="24"/>
          <w:lang w:eastAsia="zh-CN"/>
        </w:rPr>
        <w:t>伍拾捌万叁仟壹佰零叁元叁角贰分</w:t>
      </w:r>
      <w:r>
        <w:rPr>
          <w:rFonts w:hint="eastAsia" w:asciiTheme="majorEastAsia" w:hAnsiTheme="majorEastAsia" w:eastAsiaTheme="majorEastAsia"/>
          <w:sz w:val="24"/>
        </w:rPr>
        <w:t>。</w:t>
      </w:r>
    </w:p>
    <w:p>
      <w:pPr>
        <w:keepNext w:val="0"/>
        <w:keepLines w:val="0"/>
        <w:pageBreakBefore w:val="0"/>
        <w:kinsoku/>
        <w:wordWrap/>
        <w:overflowPunct/>
        <w:topLinePunct w:val="0"/>
        <w:autoSpaceDE/>
        <w:autoSpaceDN/>
        <w:bidi w:val="0"/>
        <w:adjustRightInd/>
        <w:snapToGrid/>
        <w:spacing w:line="360" w:lineRule="auto"/>
        <w:ind w:firstLine="270" w:firstLineChars="150"/>
        <w:jc w:val="righ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单位：人民币元</w:t>
      </w:r>
    </w:p>
    <w:tbl>
      <w:tblPr>
        <w:tblStyle w:val="11"/>
        <w:tblpPr w:leftFromText="180" w:rightFromText="180" w:vertAnchor="text" w:horzAnchor="page" w:tblpX="1662" w:tblpY="165"/>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295"/>
        <w:gridCol w:w="1570"/>
        <w:gridCol w:w="1980"/>
        <w:gridCol w:w="2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spacing w:line="460" w:lineRule="exact"/>
              <w:jc w:val="center"/>
              <w:rPr>
                <w:rFonts w:hint="eastAsia" w:cs="宋体" w:asciiTheme="majorEastAsia" w:hAnsiTheme="majorEastAsia" w:eastAsiaTheme="majorEastAsia"/>
                <w:b/>
                <w:color w:val="auto"/>
                <w:szCs w:val="21"/>
                <w:lang w:eastAsia="zh-CN"/>
              </w:rPr>
            </w:pPr>
            <w:r>
              <w:rPr>
                <w:rFonts w:hint="eastAsia" w:cs="宋体" w:asciiTheme="majorEastAsia" w:hAnsiTheme="majorEastAsia" w:eastAsiaTheme="majorEastAsia"/>
                <w:b/>
                <w:color w:val="auto"/>
                <w:szCs w:val="21"/>
                <w:lang w:eastAsia="zh-CN"/>
              </w:rPr>
              <w:t>序号</w:t>
            </w:r>
          </w:p>
        </w:tc>
        <w:tc>
          <w:tcPr>
            <w:tcW w:w="2295" w:type="dxa"/>
            <w:vAlign w:val="center"/>
          </w:tcPr>
          <w:p>
            <w:pPr>
              <w:spacing w:line="460" w:lineRule="exact"/>
              <w:jc w:val="center"/>
              <w:rPr>
                <w:rFonts w:hint="eastAsia" w:cs="宋体" w:asciiTheme="majorEastAsia" w:hAnsiTheme="majorEastAsia" w:eastAsiaTheme="majorEastAsia"/>
                <w:b/>
                <w:color w:val="auto"/>
                <w:szCs w:val="21"/>
                <w:lang w:eastAsia="zh-CN"/>
              </w:rPr>
            </w:pPr>
            <w:r>
              <w:rPr>
                <w:rFonts w:hint="eastAsia" w:cs="宋体" w:asciiTheme="majorEastAsia" w:hAnsiTheme="majorEastAsia" w:eastAsiaTheme="majorEastAsia"/>
                <w:b/>
                <w:color w:val="auto"/>
                <w:szCs w:val="21"/>
                <w:lang w:eastAsia="zh-CN"/>
              </w:rPr>
              <w:t>项目</w:t>
            </w:r>
          </w:p>
        </w:tc>
        <w:tc>
          <w:tcPr>
            <w:tcW w:w="1570" w:type="dxa"/>
          </w:tcPr>
          <w:p>
            <w:pPr>
              <w:spacing w:line="460" w:lineRule="exact"/>
              <w:jc w:val="center"/>
              <w:rPr>
                <w:rFonts w:hint="eastAsia" w:cs="宋体" w:asciiTheme="majorEastAsia" w:hAnsiTheme="majorEastAsia" w:eastAsiaTheme="majorEastAsia"/>
                <w:b/>
                <w:color w:val="auto"/>
                <w:szCs w:val="21"/>
                <w:lang w:eastAsia="zh-CN"/>
              </w:rPr>
            </w:pPr>
            <w:r>
              <w:rPr>
                <w:rFonts w:hint="eastAsia" w:cs="宋体" w:asciiTheme="majorEastAsia" w:hAnsiTheme="majorEastAsia" w:eastAsiaTheme="majorEastAsia"/>
                <w:b/>
                <w:color w:val="auto"/>
                <w:szCs w:val="21"/>
                <w:lang w:eastAsia="zh-CN"/>
              </w:rPr>
              <w:t>面积</w:t>
            </w:r>
          </w:p>
        </w:tc>
        <w:tc>
          <w:tcPr>
            <w:tcW w:w="1980" w:type="dxa"/>
          </w:tcPr>
          <w:p>
            <w:pPr>
              <w:spacing w:line="460" w:lineRule="exact"/>
              <w:jc w:val="center"/>
              <w:rPr>
                <w:rFonts w:hint="eastAsia" w:cs="宋体" w:asciiTheme="majorEastAsia" w:hAnsiTheme="majorEastAsia" w:eastAsiaTheme="majorEastAsia"/>
                <w:b/>
                <w:color w:val="auto"/>
                <w:szCs w:val="21"/>
                <w:lang w:eastAsia="zh-CN"/>
              </w:rPr>
            </w:pPr>
            <w:r>
              <w:rPr>
                <w:rFonts w:hint="eastAsia" w:cs="宋体" w:asciiTheme="majorEastAsia" w:hAnsiTheme="majorEastAsia" w:eastAsiaTheme="majorEastAsia"/>
                <w:b/>
                <w:color w:val="auto"/>
                <w:szCs w:val="21"/>
                <w:lang w:eastAsia="zh-CN"/>
              </w:rPr>
              <w:t>单价（元/㎡）</w:t>
            </w:r>
          </w:p>
        </w:tc>
        <w:tc>
          <w:tcPr>
            <w:tcW w:w="2095" w:type="dxa"/>
            <w:vAlign w:val="center"/>
          </w:tcPr>
          <w:p>
            <w:pPr>
              <w:spacing w:line="460" w:lineRule="exact"/>
              <w:jc w:val="center"/>
              <w:rPr>
                <w:rFonts w:hint="eastAsia" w:cs="宋体" w:asciiTheme="majorEastAsia" w:hAnsiTheme="majorEastAsia" w:eastAsiaTheme="majorEastAsia"/>
                <w:b/>
                <w:color w:val="auto"/>
                <w:szCs w:val="21"/>
                <w:lang w:eastAsia="zh-CN"/>
              </w:rPr>
            </w:pPr>
            <w:r>
              <w:rPr>
                <w:rFonts w:hint="eastAsia" w:cs="宋体" w:asciiTheme="majorEastAsia" w:hAnsiTheme="majorEastAsia" w:eastAsiaTheme="majorEastAsia"/>
                <w:b/>
                <w:color w:val="auto"/>
                <w:szCs w:val="21"/>
                <w:lang w:eastAsia="zh-CN"/>
              </w:rPr>
              <w:t>评估价值（元）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spacing w:line="460" w:lineRule="exact"/>
              <w:jc w:val="center"/>
              <w:rPr>
                <w:rFonts w:hint="default" w:cs="宋体" w:asciiTheme="majorEastAsia" w:hAnsiTheme="majorEastAsia" w:eastAsiaTheme="majorEastAsia"/>
                <w:b/>
                <w:color w:val="auto"/>
                <w:szCs w:val="21"/>
                <w:lang w:val="en-US" w:eastAsia="zh-CN"/>
              </w:rPr>
            </w:pPr>
            <w:r>
              <w:rPr>
                <w:rFonts w:hint="eastAsia" w:cs="宋体" w:asciiTheme="majorEastAsia" w:hAnsiTheme="majorEastAsia" w:eastAsiaTheme="majorEastAsia"/>
                <w:b/>
                <w:color w:val="auto"/>
                <w:szCs w:val="21"/>
                <w:lang w:val="en-US" w:eastAsia="zh-CN"/>
              </w:rPr>
              <w:t>1</w:t>
            </w:r>
          </w:p>
        </w:tc>
        <w:tc>
          <w:tcPr>
            <w:tcW w:w="2295" w:type="dxa"/>
            <w:vAlign w:val="center"/>
          </w:tcPr>
          <w:p>
            <w:pPr>
              <w:spacing w:line="460" w:lineRule="exact"/>
              <w:jc w:val="center"/>
              <w:rPr>
                <w:rFonts w:hint="default" w:cs="宋体" w:asciiTheme="majorEastAsia" w:hAnsiTheme="majorEastAsia" w:eastAsiaTheme="majorEastAsia"/>
                <w:b/>
                <w:color w:val="auto"/>
                <w:szCs w:val="21"/>
                <w:lang w:val="en-US" w:eastAsia="zh-CN"/>
              </w:rPr>
            </w:pPr>
            <w:r>
              <w:rPr>
                <w:rFonts w:hint="eastAsia" w:cs="宋体" w:asciiTheme="majorEastAsia" w:hAnsiTheme="majorEastAsia" w:eastAsiaTheme="majorEastAsia"/>
                <w:b/>
                <w:color w:val="auto"/>
                <w:szCs w:val="21"/>
                <w:lang w:val="en-US" w:eastAsia="zh-CN"/>
              </w:rPr>
              <w:t>102室</w:t>
            </w:r>
          </w:p>
        </w:tc>
        <w:tc>
          <w:tcPr>
            <w:tcW w:w="1570" w:type="dxa"/>
            <w:vAlign w:val="center"/>
          </w:tcPr>
          <w:p>
            <w:pPr>
              <w:spacing w:line="460" w:lineRule="exact"/>
              <w:jc w:val="center"/>
              <w:rPr>
                <w:rFonts w:hint="default" w:cs="宋体" w:asciiTheme="majorEastAsia" w:hAnsiTheme="majorEastAsia" w:eastAsiaTheme="majorEastAsia"/>
                <w:b/>
                <w:color w:val="auto"/>
                <w:szCs w:val="21"/>
                <w:lang w:val="en-US" w:eastAsia="zh-CN"/>
              </w:rPr>
            </w:pPr>
            <w:r>
              <w:rPr>
                <w:rFonts w:hint="eastAsia" w:cs="宋体" w:asciiTheme="majorEastAsia" w:hAnsiTheme="majorEastAsia" w:eastAsiaTheme="majorEastAsia"/>
                <w:b/>
                <w:color w:val="auto"/>
                <w:szCs w:val="21"/>
                <w:lang w:val="en-US" w:eastAsia="zh-CN"/>
              </w:rPr>
              <w:t>48.29㎡</w:t>
            </w:r>
          </w:p>
        </w:tc>
        <w:tc>
          <w:tcPr>
            <w:tcW w:w="1980" w:type="dxa"/>
            <w:vAlign w:val="center"/>
          </w:tcPr>
          <w:p>
            <w:pPr>
              <w:spacing w:line="460" w:lineRule="exact"/>
              <w:jc w:val="center"/>
              <w:rPr>
                <w:rFonts w:hint="default" w:cs="宋体" w:asciiTheme="majorEastAsia" w:hAnsiTheme="majorEastAsia" w:eastAsiaTheme="majorEastAsia"/>
                <w:b/>
                <w:color w:val="auto"/>
                <w:szCs w:val="21"/>
                <w:lang w:val="en-US" w:eastAsia="zh-CN"/>
              </w:rPr>
            </w:pPr>
            <w:r>
              <w:rPr>
                <w:rFonts w:hint="eastAsia" w:cs="宋体" w:asciiTheme="majorEastAsia" w:hAnsiTheme="majorEastAsia" w:eastAsiaTheme="majorEastAsia"/>
                <w:b/>
                <w:color w:val="auto"/>
                <w:szCs w:val="21"/>
                <w:lang w:val="en-US" w:eastAsia="zh-CN"/>
              </w:rPr>
              <w:t>3,308.00</w:t>
            </w:r>
          </w:p>
        </w:tc>
        <w:tc>
          <w:tcPr>
            <w:tcW w:w="2095" w:type="dxa"/>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kern w:val="2"/>
                <w:sz w:val="20"/>
                <w:szCs w:val="20"/>
                <w:u w:val="none"/>
                <w:lang w:val="en-US" w:eastAsia="zh-CN" w:bidi="ar-SA"/>
              </w:rPr>
            </w:pPr>
            <w:r>
              <w:rPr>
                <w:rFonts w:hint="eastAsia" w:cs="宋体" w:asciiTheme="majorEastAsia" w:hAnsiTheme="majorEastAsia" w:eastAsiaTheme="majorEastAsia"/>
                <w:b/>
                <w:color w:val="auto"/>
                <w:szCs w:val="21"/>
                <w:lang w:val="en-US" w:eastAsia="zh-CN"/>
              </w:rPr>
              <w:t>159</w:t>
            </w:r>
            <w:r>
              <w:rPr>
                <w:rFonts w:hint="default" w:cs="宋体" w:asciiTheme="majorEastAsia" w:hAnsiTheme="majorEastAsia" w:eastAsiaTheme="majorEastAsia"/>
                <w:b/>
                <w:color w:val="auto"/>
                <w:szCs w:val="21"/>
                <w:lang w:val="en-US" w:eastAsia="zh-CN"/>
              </w:rPr>
              <w:t>,</w:t>
            </w:r>
            <w:r>
              <w:rPr>
                <w:rFonts w:hint="eastAsia" w:cs="宋体" w:asciiTheme="majorEastAsia" w:hAnsiTheme="majorEastAsia" w:eastAsiaTheme="majorEastAsia"/>
                <w:b/>
                <w:color w:val="auto"/>
                <w:szCs w:val="21"/>
                <w:lang w:val="en-US" w:eastAsia="zh-CN"/>
              </w:rPr>
              <w:t>743</w:t>
            </w:r>
            <w:r>
              <w:rPr>
                <w:rFonts w:hint="default" w:cs="宋体" w:asciiTheme="majorEastAsia" w:hAnsiTheme="majorEastAsia" w:eastAsiaTheme="majorEastAsia"/>
                <w:b/>
                <w:color w:val="auto"/>
                <w:szCs w:val="21"/>
                <w:lang w:val="en-US" w:eastAsia="zh-CN"/>
              </w:rPr>
              <w:t>.</w:t>
            </w:r>
            <w:r>
              <w:rPr>
                <w:rFonts w:hint="eastAsia" w:cs="宋体" w:asciiTheme="majorEastAsia" w:hAnsiTheme="majorEastAsia" w:eastAsiaTheme="majorEastAsia"/>
                <w:b/>
                <w:color w:val="auto"/>
                <w:szCs w:val="21"/>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spacing w:line="460" w:lineRule="exact"/>
              <w:jc w:val="center"/>
              <w:rPr>
                <w:rFonts w:hint="default" w:cs="宋体" w:asciiTheme="majorEastAsia" w:hAnsiTheme="majorEastAsia" w:eastAsiaTheme="majorEastAsia"/>
                <w:b/>
                <w:color w:val="auto"/>
                <w:szCs w:val="21"/>
                <w:lang w:val="en-US" w:eastAsia="zh-CN"/>
              </w:rPr>
            </w:pPr>
            <w:r>
              <w:rPr>
                <w:rFonts w:hint="eastAsia" w:cs="宋体" w:asciiTheme="majorEastAsia" w:hAnsiTheme="majorEastAsia" w:eastAsiaTheme="majorEastAsia"/>
                <w:b/>
                <w:color w:val="auto"/>
                <w:szCs w:val="21"/>
                <w:lang w:val="en-US" w:eastAsia="zh-CN"/>
              </w:rPr>
              <w:t>2</w:t>
            </w:r>
          </w:p>
        </w:tc>
        <w:tc>
          <w:tcPr>
            <w:tcW w:w="2295" w:type="dxa"/>
            <w:vAlign w:val="center"/>
          </w:tcPr>
          <w:p>
            <w:pPr>
              <w:spacing w:line="460" w:lineRule="exact"/>
              <w:jc w:val="center"/>
              <w:rPr>
                <w:rFonts w:hint="default" w:cs="宋体" w:asciiTheme="majorEastAsia" w:hAnsiTheme="majorEastAsia" w:eastAsiaTheme="majorEastAsia"/>
                <w:b/>
                <w:color w:val="auto"/>
                <w:szCs w:val="21"/>
                <w:lang w:val="en-US" w:eastAsia="zh-CN"/>
              </w:rPr>
            </w:pPr>
            <w:r>
              <w:rPr>
                <w:rFonts w:hint="eastAsia" w:cs="宋体" w:asciiTheme="majorEastAsia" w:hAnsiTheme="majorEastAsia" w:eastAsiaTheme="majorEastAsia"/>
                <w:b/>
                <w:color w:val="auto"/>
                <w:szCs w:val="21"/>
                <w:lang w:val="en-US" w:eastAsia="zh-CN"/>
              </w:rPr>
              <w:t>201室</w:t>
            </w:r>
          </w:p>
        </w:tc>
        <w:tc>
          <w:tcPr>
            <w:tcW w:w="1570" w:type="dxa"/>
            <w:vAlign w:val="center"/>
          </w:tcPr>
          <w:p>
            <w:pPr>
              <w:spacing w:line="460" w:lineRule="exact"/>
              <w:jc w:val="center"/>
              <w:rPr>
                <w:rFonts w:hint="default" w:cs="宋体" w:asciiTheme="majorEastAsia" w:hAnsiTheme="majorEastAsia" w:eastAsiaTheme="majorEastAsia"/>
                <w:b/>
                <w:color w:val="auto"/>
                <w:szCs w:val="21"/>
                <w:lang w:val="en-US" w:eastAsia="zh-CN"/>
              </w:rPr>
            </w:pPr>
            <w:r>
              <w:rPr>
                <w:rFonts w:hint="eastAsia" w:cs="宋体" w:asciiTheme="majorEastAsia" w:hAnsiTheme="majorEastAsia" w:eastAsiaTheme="majorEastAsia"/>
                <w:b/>
                <w:color w:val="auto"/>
                <w:szCs w:val="21"/>
                <w:lang w:val="en-US" w:eastAsia="zh-CN"/>
              </w:rPr>
              <w:t>115.20㎡</w:t>
            </w:r>
          </w:p>
        </w:tc>
        <w:tc>
          <w:tcPr>
            <w:tcW w:w="1980" w:type="dxa"/>
            <w:vAlign w:val="center"/>
          </w:tcPr>
          <w:p>
            <w:pPr>
              <w:spacing w:line="460" w:lineRule="exact"/>
              <w:jc w:val="center"/>
              <w:rPr>
                <w:rFonts w:hint="default" w:cs="宋体" w:asciiTheme="majorEastAsia" w:hAnsiTheme="majorEastAsia" w:eastAsiaTheme="majorEastAsia"/>
                <w:b/>
                <w:color w:val="auto"/>
                <w:szCs w:val="21"/>
                <w:lang w:val="en-US" w:eastAsia="zh-CN"/>
              </w:rPr>
            </w:pPr>
            <w:r>
              <w:rPr>
                <w:rFonts w:hint="eastAsia" w:cs="宋体" w:asciiTheme="majorEastAsia" w:hAnsiTheme="majorEastAsia" w:eastAsiaTheme="majorEastAsia"/>
                <w:b/>
                <w:color w:val="auto"/>
                <w:szCs w:val="21"/>
                <w:lang w:val="en-US" w:eastAsia="zh-CN"/>
              </w:rPr>
              <w:t>3,675.00</w:t>
            </w:r>
          </w:p>
        </w:tc>
        <w:tc>
          <w:tcPr>
            <w:tcW w:w="2095" w:type="dxa"/>
            <w:vAlign w:val="center"/>
          </w:tcPr>
          <w:p>
            <w:pPr>
              <w:keepNext w:val="0"/>
              <w:keepLines w:val="0"/>
              <w:widowControl/>
              <w:suppressLineNumbers w:val="0"/>
              <w:jc w:val="center"/>
              <w:textAlignment w:val="center"/>
              <w:rPr>
                <w:rFonts w:hint="default" w:cs="宋体" w:asciiTheme="majorEastAsia" w:hAnsiTheme="majorEastAsia" w:eastAsiaTheme="majorEastAsia"/>
                <w:b/>
                <w:color w:val="auto"/>
                <w:szCs w:val="21"/>
                <w:lang w:val="en-US" w:eastAsia="zh-CN"/>
              </w:rPr>
            </w:pPr>
            <w:r>
              <w:rPr>
                <w:rFonts w:hint="eastAsia" w:cs="宋体" w:asciiTheme="majorEastAsia" w:hAnsiTheme="majorEastAsia" w:eastAsiaTheme="majorEastAsia"/>
                <w:b/>
                <w:color w:val="auto"/>
                <w:szCs w:val="21"/>
                <w:lang w:val="en-US" w:eastAsia="zh-CN"/>
              </w:rPr>
              <w:t>423,360.00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110" w:type="dxa"/>
            <w:gridSpan w:val="2"/>
            <w:vAlign w:val="center"/>
          </w:tcPr>
          <w:p>
            <w:pPr>
              <w:spacing w:line="460" w:lineRule="exact"/>
              <w:jc w:val="center"/>
              <w:rPr>
                <w:rFonts w:hint="eastAsia" w:cs="宋体" w:asciiTheme="majorEastAsia" w:hAnsiTheme="majorEastAsia" w:eastAsiaTheme="majorEastAsia"/>
                <w:b/>
                <w:color w:val="auto"/>
                <w:szCs w:val="21"/>
                <w:lang w:val="en-US" w:eastAsia="zh-CN"/>
              </w:rPr>
            </w:pPr>
            <w:r>
              <w:rPr>
                <w:rFonts w:hint="eastAsia" w:cs="宋体" w:asciiTheme="majorEastAsia" w:hAnsiTheme="majorEastAsia" w:eastAsiaTheme="majorEastAsia"/>
                <w:b/>
                <w:color w:val="auto"/>
                <w:szCs w:val="21"/>
                <w:lang w:val="en-US" w:eastAsia="zh-CN"/>
              </w:rPr>
              <w:t>合计</w:t>
            </w:r>
          </w:p>
        </w:tc>
        <w:tc>
          <w:tcPr>
            <w:tcW w:w="1570" w:type="dxa"/>
            <w:vAlign w:val="center"/>
          </w:tcPr>
          <w:p>
            <w:pPr>
              <w:spacing w:line="460" w:lineRule="exact"/>
              <w:jc w:val="center"/>
              <w:rPr>
                <w:rFonts w:hint="default" w:cs="宋体" w:asciiTheme="majorEastAsia" w:hAnsiTheme="majorEastAsia" w:eastAsiaTheme="majorEastAsia"/>
                <w:b/>
                <w:color w:val="auto"/>
                <w:szCs w:val="21"/>
                <w:lang w:val="en-US" w:eastAsia="zh-CN"/>
              </w:rPr>
            </w:pPr>
            <w:r>
              <w:rPr>
                <w:rFonts w:hint="eastAsia" w:cs="宋体" w:asciiTheme="majorEastAsia" w:hAnsiTheme="majorEastAsia" w:eastAsiaTheme="majorEastAsia"/>
                <w:b/>
                <w:color w:val="auto"/>
                <w:szCs w:val="21"/>
                <w:lang w:val="en-US" w:eastAsia="zh-CN"/>
              </w:rPr>
              <w:t>163.49㎡</w:t>
            </w:r>
          </w:p>
        </w:tc>
        <w:tc>
          <w:tcPr>
            <w:tcW w:w="1980" w:type="dxa"/>
            <w:vAlign w:val="center"/>
          </w:tcPr>
          <w:p>
            <w:pPr>
              <w:spacing w:line="460" w:lineRule="exact"/>
              <w:jc w:val="center"/>
              <w:rPr>
                <w:rFonts w:hint="eastAsia" w:cs="宋体" w:asciiTheme="majorEastAsia" w:hAnsiTheme="majorEastAsia" w:eastAsiaTheme="majorEastAsia"/>
                <w:b/>
                <w:color w:val="auto"/>
                <w:szCs w:val="21"/>
                <w:lang w:val="en-US" w:eastAsia="zh-CN"/>
              </w:rPr>
            </w:pPr>
          </w:p>
        </w:tc>
        <w:tc>
          <w:tcPr>
            <w:tcW w:w="2095" w:type="dxa"/>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kern w:val="2"/>
                <w:sz w:val="20"/>
                <w:szCs w:val="20"/>
                <w:u w:val="none"/>
                <w:lang w:val="en-US" w:eastAsia="zh-CN" w:bidi="ar-SA"/>
              </w:rPr>
            </w:pPr>
            <w:r>
              <w:rPr>
                <w:rFonts w:hint="eastAsia" w:cs="宋体" w:asciiTheme="majorEastAsia" w:hAnsiTheme="majorEastAsia" w:eastAsiaTheme="majorEastAsia"/>
                <w:b/>
                <w:color w:val="auto"/>
                <w:szCs w:val="21"/>
                <w:lang w:val="en-US" w:eastAsia="zh-CN"/>
              </w:rPr>
              <w:t>583</w:t>
            </w:r>
            <w:r>
              <w:rPr>
                <w:rFonts w:hint="default" w:cs="宋体" w:asciiTheme="majorEastAsia" w:hAnsiTheme="majorEastAsia" w:eastAsiaTheme="majorEastAsia"/>
                <w:b/>
                <w:color w:val="auto"/>
                <w:szCs w:val="21"/>
                <w:lang w:val="en-US" w:eastAsia="zh-CN"/>
              </w:rPr>
              <w:t>,</w:t>
            </w:r>
            <w:r>
              <w:rPr>
                <w:rFonts w:hint="eastAsia" w:cs="宋体" w:asciiTheme="majorEastAsia" w:hAnsiTheme="majorEastAsia" w:eastAsiaTheme="majorEastAsia"/>
                <w:b/>
                <w:color w:val="auto"/>
                <w:szCs w:val="21"/>
                <w:lang w:val="en-US" w:eastAsia="zh-CN"/>
              </w:rPr>
              <w:t>103</w:t>
            </w:r>
            <w:r>
              <w:rPr>
                <w:rFonts w:hint="default" w:cs="宋体" w:asciiTheme="majorEastAsia" w:hAnsiTheme="majorEastAsia" w:eastAsiaTheme="majorEastAsia"/>
                <w:b/>
                <w:color w:val="auto"/>
                <w:szCs w:val="21"/>
                <w:lang w:val="en-US" w:eastAsia="zh-CN"/>
              </w:rPr>
              <w:t>.</w:t>
            </w:r>
            <w:r>
              <w:rPr>
                <w:rFonts w:hint="eastAsia" w:cs="宋体" w:asciiTheme="majorEastAsia" w:hAnsiTheme="majorEastAsia" w:eastAsiaTheme="majorEastAsia"/>
                <w:b/>
                <w:color w:val="auto"/>
                <w:szCs w:val="21"/>
                <w:lang w:val="en-US" w:eastAsia="zh-CN"/>
              </w:rPr>
              <w:t>32</w:t>
            </w:r>
          </w:p>
        </w:tc>
      </w:tr>
    </w:tbl>
    <w:p>
      <w:pPr>
        <w:keepNext w:val="0"/>
        <w:keepLines w:val="0"/>
        <w:pageBreakBefore w:val="0"/>
        <w:widowControl w:val="0"/>
        <w:kinsoku/>
        <w:wordWrap/>
        <w:overflowPunct/>
        <w:topLinePunct w:val="0"/>
        <w:autoSpaceDE/>
        <w:autoSpaceDN/>
        <w:bidi w:val="0"/>
        <w:adjustRightInd/>
        <w:spacing w:line="390" w:lineRule="exact"/>
        <w:ind w:firstLine="360" w:firstLineChars="150"/>
        <w:textAlignment w:val="auto"/>
        <w:rPr>
          <w:rFonts w:asciiTheme="majorEastAsia" w:hAnsiTheme="majorEastAsia" w:eastAsiaTheme="majorEastAsia"/>
          <w:sz w:val="24"/>
        </w:rPr>
      </w:pPr>
      <w:r>
        <w:rPr>
          <w:rFonts w:hint="eastAsia" w:asciiTheme="majorEastAsia" w:hAnsiTheme="majorEastAsia" w:eastAsiaTheme="majorEastAsia"/>
          <w:sz w:val="24"/>
        </w:rPr>
        <w:t>九、特殊事项说明：</w:t>
      </w:r>
    </w:p>
    <w:p>
      <w:pPr>
        <w:keepNext w:val="0"/>
        <w:keepLines w:val="0"/>
        <w:pageBreakBefore w:val="0"/>
        <w:widowControl w:val="0"/>
        <w:kinsoku/>
        <w:wordWrap/>
        <w:overflowPunct/>
        <w:topLinePunct w:val="0"/>
        <w:autoSpaceDE/>
        <w:autoSpaceDN/>
        <w:bidi w:val="0"/>
        <w:adjustRightInd/>
        <w:spacing w:line="390" w:lineRule="exact"/>
        <w:ind w:firstLine="480" w:firstLineChars="200"/>
        <w:textAlignment w:val="auto"/>
        <w:rPr>
          <w:rFonts w:hint="eastAsia" w:asciiTheme="majorEastAsia" w:hAnsiTheme="majorEastAsia" w:eastAsiaTheme="majorEastAsia"/>
          <w:sz w:val="24"/>
        </w:rPr>
      </w:pPr>
      <w:r>
        <w:rPr>
          <w:rFonts w:hint="eastAsia" w:asciiTheme="majorEastAsia" w:hAnsiTheme="majorEastAsia" w:eastAsiaTheme="majorEastAsia"/>
          <w:sz w:val="24"/>
        </w:rPr>
        <w:t>1.本报告中，我们的责任是对评估对象在评估基准日的市场价格进行估算并发表专业意见，对评估对象的法律权属不发表意见，也不作确认或保证。本报告所依据的权属及委托人和</w:t>
      </w:r>
      <w:r>
        <w:rPr>
          <w:rFonts w:hint="eastAsia" w:asciiTheme="majorEastAsia" w:hAnsiTheme="majorEastAsia" w:eastAsiaTheme="majorEastAsia"/>
          <w:sz w:val="24"/>
          <w:lang w:eastAsia="zh-CN"/>
        </w:rPr>
        <w:t>相关当事人</w:t>
      </w:r>
      <w:r>
        <w:rPr>
          <w:rFonts w:hint="eastAsia" w:asciiTheme="majorEastAsia" w:hAnsiTheme="majorEastAsia" w:eastAsiaTheme="majorEastAsia"/>
          <w:sz w:val="24"/>
        </w:rPr>
        <w:t>提供的其它相关资料的真实性、完整性和合法性由委托人和产权持有人负责。如有因产权问题引起纠纷，与评估机构和资产评估师无关。</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ajorEastAsia" w:hAnsiTheme="majorEastAsia" w:eastAsiaTheme="majorEastAsia"/>
          <w:sz w:val="24"/>
        </w:rPr>
      </w:pPr>
      <w:r>
        <w:rPr>
          <w:rFonts w:hint="eastAsia" w:asciiTheme="majorEastAsia" w:hAnsiTheme="majorEastAsia" w:eastAsiaTheme="majorEastAsia"/>
          <w:sz w:val="24"/>
        </w:rPr>
        <w:t>2.本评估结果是对</w:t>
      </w:r>
      <w:r>
        <w:rPr>
          <w:rFonts w:hint="eastAsia" w:asciiTheme="majorEastAsia" w:hAnsiTheme="majorEastAsia" w:eastAsiaTheme="majorEastAsia"/>
          <w:sz w:val="24"/>
          <w:lang w:eastAsia="zh-CN"/>
        </w:rPr>
        <w:t>二〇二二年二月二十二日</w:t>
      </w:r>
      <w:r>
        <w:rPr>
          <w:rFonts w:hint="eastAsia" w:asciiTheme="majorEastAsia" w:hAnsiTheme="majorEastAsia" w:eastAsiaTheme="majorEastAsia"/>
          <w:sz w:val="24"/>
        </w:rPr>
        <w:t>这一评估基准日所评估资产价值的客观公允反映，我评估所对这一基准日后该资产价值发生重大变化不负责任。</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Theme="majorEastAsia" w:hAnsiTheme="majorEastAsia" w:eastAsiaTheme="majorEastAsia"/>
          <w:sz w:val="24"/>
        </w:rPr>
      </w:pPr>
      <w:r>
        <w:rPr>
          <w:rFonts w:hint="eastAsia" w:asciiTheme="majorEastAsia" w:hAnsiTheme="majorEastAsia" w:eastAsiaTheme="majorEastAsia"/>
          <w:sz w:val="24"/>
          <w:lang w:val="en-US" w:eastAsia="zh-CN"/>
        </w:rPr>
        <w:t>3</w:t>
      </w:r>
      <w:r>
        <w:rPr>
          <w:rFonts w:hint="eastAsia" w:asciiTheme="majorEastAsia" w:hAnsiTheme="majorEastAsia" w:eastAsiaTheme="majorEastAsia"/>
          <w:sz w:val="24"/>
        </w:rPr>
        <w:t>.本次评估已进行现场勘查，现场勘查过程中案件委托人</w:t>
      </w:r>
      <w:r>
        <w:rPr>
          <w:rFonts w:hint="eastAsia" w:asciiTheme="majorEastAsia" w:hAnsiTheme="majorEastAsia" w:eastAsiaTheme="majorEastAsia"/>
          <w:sz w:val="24"/>
          <w:lang w:eastAsia="zh-CN"/>
        </w:rPr>
        <w:t>及申请人</w:t>
      </w:r>
      <w:r>
        <w:rPr>
          <w:rFonts w:hint="eastAsia" w:asciiTheme="majorEastAsia" w:hAnsiTheme="majorEastAsia" w:eastAsiaTheme="majorEastAsia"/>
          <w:sz w:val="24"/>
        </w:rPr>
        <w:t>到</w:t>
      </w:r>
      <w:r>
        <w:rPr>
          <w:rFonts w:hint="eastAsia" w:asciiTheme="majorEastAsia" w:hAnsiTheme="majorEastAsia" w:eastAsiaTheme="majorEastAsia"/>
          <w:sz w:val="24"/>
          <w:lang w:eastAsia="zh-CN"/>
        </w:rPr>
        <w:t>达</w:t>
      </w:r>
      <w:r>
        <w:rPr>
          <w:rFonts w:hint="eastAsia" w:asciiTheme="majorEastAsia" w:hAnsiTheme="majorEastAsia" w:eastAsiaTheme="majorEastAsia"/>
          <w:sz w:val="24"/>
        </w:rPr>
        <w:t>现场，并在现场勘查记录上签字确认</w:t>
      </w:r>
      <w:r>
        <w:rPr>
          <w:rFonts w:hint="eastAsia" w:asciiTheme="majorEastAsia" w:hAnsiTheme="majorEastAsia" w:eastAsiaTheme="majorEastAsia"/>
          <w:sz w:val="24"/>
          <w:lang w:eastAsia="zh-CN"/>
        </w:rPr>
        <w:t>，被申请人未到达现场</w:t>
      </w:r>
      <w:r>
        <w:rPr>
          <w:rFonts w:hint="eastAsia" w:asciiTheme="majorEastAsia" w:hAnsiTheme="majorEastAsia" w:eastAsiaTheme="majorEastAsia"/>
          <w:sz w:val="24"/>
        </w:rPr>
        <w:t>。</w:t>
      </w:r>
    </w:p>
    <w:p>
      <w:pPr>
        <w:keepNext w:val="0"/>
        <w:keepLines w:val="0"/>
        <w:pageBreakBefore w:val="0"/>
        <w:widowControl w:val="0"/>
        <w:kinsoku/>
        <w:wordWrap/>
        <w:overflowPunct/>
        <w:topLinePunct w:val="0"/>
        <w:autoSpaceDE/>
        <w:autoSpaceDN/>
        <w:bidi w:val="0"/>
        <w:adjustRightInd/>
        <w:snapToGrid/>
        <w:spacing w:line="380" w:lineRule="exact"/>
        <w:ind w:firstLine="456" w:firstLineChars="200"/>
        <w:textAlignment w:val="auto"/>
        <w:rPr>
          <w:rFonts w:hint="eastAsia" w:asciiTheme="majorEastAsia" w:hAnsiTheme="majorEastAsia" w:eastAsiaTheme="majorEastAsia"/>
          <w:spacing w:val="-6"/>
          <w:sz w:val="24"/>
          <w:lang w:val="en-US" w:eastAsia="zh-CN"/>
        </w:rPr>
      </w:pPr>
      <w:r>
        <w:rPr>
          <w:rFonts w:hint="eastAsia" w:asciiTheme="majorEastAsia" w:hAnsiTheme="majorEastAsia" w:eastAsiaTheme="majorEastAsia"/>
          <w:spacing w:val="-6"/>
          <w:sz w:val="24"/>
          <w:lang w:val="en-US" w:eastAsia="zh-CN"/>
        </w:rPr>
        <w:t>4.截止至评估基准日，102室、201室住宅用房处于在用状态。本报告评估结论不考虑评估对象抵押、查封、租赁等因素对价值的影响。</w:t>
      </w:r>
    </w:p>
    <w:p>
      <w:pPr>
        <w:keepNext w:val="0"/>
        <w:keepLines w:val="0"/>
        <w:pageBreakBefore w:val="0"/>
        <w:widowControl w:val="0"/>
        <w:kinsoku/>
        <w:wordWrap/>
        <w:overflowPunct/>
        <w:topLinePunct w:val="0"/>
        <w:autoSpaceDE/>
        <w:autoSpaceDN/>
        <w:bidi w:val="0"/>
        <w:adjustRightInd/>
        <w:snapToGrid/>
        <w:spacing w:line="380" w:lineRule="exact"/>
        <w:ind w:firstLine="456" w:firstLineChars="200"/>
        <w:textAlignment w:val="auto"/>
        <w:rPr>
          <w:rFonts w:hint="eastAsia" w:asciiTheme="majorEastAsia" w:hAnsiTheme="majorEastAsia" w:eastAsiaTheme="majorEastAsia"/>
          <w:spacing w:val="-6"/>
          <w:sz w:val="24"/>
          <w:lang w:val="en-US" w:eastAsia="zh-CN"/>
        </w:rPr>
      </w:pPr>
      <w:r>
        <w:rPr>
          <w:rFonts w:hint="eastAsia" w:asciiTheme="majorEastAsia" w:hAnsiTheme="majorEastAsia" w:eastAsiaTheme="majorEastAsia"/>
          <w:spacing w:val="-6"/>
          <w:sz w:val="24"/>
          <w:lang w:val="en-US" w:eastAsia="zh-CN"/>
        </w:rPr>
        <w:t>5.本次司法执行财产处置评估业务中，在评定估算形成评估结论的过程中不考虑评估费、拍卖费、诉讼费、律师费以及交易税费等财产处置费用对评估结论的影响。</w:t>
      </w:r>
    </w:p>
    <w:p>
      <w:pPr>
        <w:keepNext w:val="0"/>
        <w:keepLines w:val="0"/>
        <w:pageBreakBefore w:val="0"/>
        <w:widowControl w:val="0"/>
        <w:kinsoku/>
        <w:wordWrap/>
        <w:overflowPunct/>
        <w:topLinePunct w:val="0"/>
        <w:autoSpaceDE/>
        <w:autoSpaceDN/>
        <w:bidi w:val="0"/>
        <w:adjustRightInd/>
        <w:snapToGrid/>
        <w:spacing w:line="420" w:lineRule="exact"/>
        <w:ind w:firstLine="456" w:firstLineChars="200"/>
        <w:textAlignment w:val="auto"/>
        <w:rPr>
          <w:rFonts w:hint="eastAsia" w:asciiTheme="majorEastAsia" w:hAnsiTheme="majorEastAsia" w:eastAsiaTheme="majorEastAsia"/>
          <w:spacing w:val="-6"/>
          <w:sz w:val="24"/>
          <w:lang w:val="en-US" w:eastAsia="zh-CN"/>
        </w:rPr>
      </w:pPr>
      <w:r>
        <w:rPr>
          <w:rFonts w:hint="eastAsia" w:asciiTheme="majorEastAsia" w:hAnsiTheme="majorEastAsia" w:eastAsiaTheme="majorEastAsia"/>
          <w:spacing w:val="-6"/>
          <w:sz w:val="24"/>
          <w:lang w:val="en-US" w:eastAsia="zh-CN"/>
        </w:rPr>
        <w:t>6.本次估价对象权属依据为委托人提供的辽源市龙山区人民法院司法辅助办公室《司法鉴定委托书》、《对外委托案件移送表》、《不动产查询结果证明》。</w:t>
      </w:r>
    </w:p>
    <w:p>
      <w:pPr>
        <w:keepNext w:val="0"/>
        <w:keepLines w:val="0"/>
        <w:pageBreakBefore w:val="0"/>
        <w:widowControl w:val="0"/>
        <w:kinsoku/>
        <w:wordWrap/>
        <w:overflowPunct/>
        <w:topLinePunct w:val="0"/>
        <w:autoSpaceDE/>
        <w:autoSpaceDN/>
        <w:bidi w:val="0"/>
        <w:adjustRightInd/>
        <w:snapToGrid/>
        <w:spacing w:line="420" w:lineRule="exact"/>
        <w:ind w:firstLine="456" w:firstLineChars="200"/>
        <w:textAlignment w:val="auto"/>
        <w:rPr>
          <w:rFonts w:hint="default" w:asciiTheme="majorEastAsia" w:hAnsiTheme="majorEastAsia" w:eastAsiaTheme="majorEastAsia"/>
          <w:spacing w:val="-6"/>
          <w:sz w:val="24"/>
          <w:lang w:val="en-US" w:eastAsia="zh-CN"/>
        </w:rPr>
      </w:pPr>
      <w:r>
        <w:rPr>
          <w:rFonts w:hint="eastAsia" w:asciiTheme="majorEastAsia" w:hAnsiTheme="majorEastAsia" w:eastAsiaTheme="majorEastAsia"/>
          <w:spacing w:val="-6"/>
          <w:sz w:val="24"/>
          <w:lang w:val="en-US" w:eastAsia="zh-CN"/>
        </w:rPr>
        <w:t>7.业主将102室、201室内部连通，私改为营业用房，但本次评估根据《不动产查询结果证明》确定该房屋法定用途为住宅。如有异议，请重新委托评估。</w:t>
      </w:r>
    </w:p>
    <w:p>
      <w:pPr>
        <w:keepNext w:val="0"/>
        <w:keepLines w:val="0"/>
        <w:pageBreakBefore w:val="0"/>
        <w:widowControl w:val="0"/>
        <w:kinsoku/>
        <w:wordWrap/>
        <w:overflowPunct/>
        <w:topLinePunct w:val="0"/>
        <w:autoSpaceDE/>
        <w:autoSpaceDN/>
        <w:bidi w:val="0"/>
        <w:adjustRightInd/>
        <w:spacing w:line="390" w:lineRule="exact"/>
        <w:ind w:firstLine="360" w:firstLineChars="150"/>
        <w:textAlignment w:val="auto"/>
        <w:rPr>
          <w:rFonts w:hint="eastAsia" w:asciiTheme="majorEastAsia" w:hAnsiTheme="majorEastAsia" w:eastAsiaTheme="majorEastAsia"/>
          <w:sz w:val="24"/>
        </w:rPr>
      </w:pPr>
      <w:r>
        <w:rPr>
          <w:rFonts w:hint="eastAsia" w:asciiTheme="majorEastAsia" w:hAnsiTheme="majorEastAsia" w:eastAsiaTheme="majorEastAsia"/>
          <w:sz w:val="24"/>
        </w:rPr>
        <w:t>十、评估结论使用有效期</w:t>
      </w:r>
    </w:p>
    <w:p>
      <w:pPr>
        <w:keepNext w:val="0"/>
        <w:keepLines w:val="0"/>
        <w:pageBreakBefore w:val="0"/>
        <w:widowControl w:val="0"/>
        <w:kinsoku/>
        <w:wordWrap/>
        <w:overflowPunct/>
        <w:topLinePunct w:val="0"/>
        <w:autoSpaceDE/>
        <w:autoSpaceDN/>
        <w:bidi w:val="0"/>
        <w:adjustRightInd/>
        <w:spacing w:line="390" w:lineRule="exact"/>
        <w:ind w:firstLine="480" w:firstLineChars="200"/>
        <w:textAlignment w:val="auto"/>
        <w:rPr>
          <w:rFonts w:hint="eastAsia" w:asciiTheme="majorEastAsia" w:hAnsiTheme="majorEastAsia" w:eastAsiaTheme="majorEastAsia"/>
          <w:sz w:val="24"/>
        </w:rPr>
      </w:pPr>
      <w:r>
        <w:rPr>
          <w:rFonts w:hint="eastAsia" w:asciiTheme="majorEastAsia" w:hAnsiTheme="majorEastAsia" w:eastAsiaTheme="majorEastAsia"/>
          <w:sz w:val="24"/>
        </w:rPr>
        <w:t>评估结论仅在评估报告载明的评估基准日成立，并为评估报告中所描述的经济行为提供价值参考意见。评估报告的使用期自评估基准日起一年内有效，即</w:t>
      </w:r>
      <w:r>
        <w:rPr>
          <w:rFonts w:hint="eastAsia" w:asciiTheme="majorEastAsia" w:hAnsiTheme="majorEastAsia" w:eastAsiaTheme="majorEastAsia"/>
          <w:sz w:val="24"/>
          <w:lang w:eastAsia="zh-CN"/>
        </w:rPr>
        <w:t>二〇二二年二月二十三日</w:t>
      </w:r>
      <w:r>
        <w:rPr>
          <w:rFonts w:hint="eastAsia" w:asciiTheme="majorEastAsia" w:hAnsiTheme="majorEastAsia" w:eastAsiaTheme="majorEastAsia"/>
          <w:sz w:val="24"/>
        </w:rPr>
        <w:t>至</w:t>
      </w:r>
      <w:r>
        <w:rPr>
          <w:rFonts w:hint="eastAsia" w:asciiTheme="majorEastAsia" w:hAnsiTheme="majorEastAsia" w:eastAsiaTheme="majorEastAsia"/>
          <w:sz w:val="24"/>
          <w:lang w:eastAsia="zh-CN"/>
        </w:rPr>
        <w:t>二〇二三</w:t>
      </w:r>
      <w:bookmarkStart w:id="12" w:name="_GoBack"/>
      <w:bookmarkEnd w:id="12"/>
      <w:r>
        <w:rPr>
          <w:rFonts w:hint="eastAsia" w:asciiTheme="majorEastAsia" w:hAnsiTheme="majorEastAsia" w:eastAsiaTheme="majorEastAsia"/>
          <w:sz w:val="24"/>
          <w:lang w:eastAsia="zh-CN"/>
        </w:rPr>
        <w:t>年二月二十二日</w:t>
      </w:r>
      <w:r>
        <w:rPr>
          <w:rFonts w:hint="eastAsia" w:asciiTheme="majorEastAsia" w:hAnsiTheme="majorEastAsia" w:eastAsiaTheme="majorEastAsia"/>
          <w:sz w:val="24"/>
        </w:rPr>
        <w:t>。</w:t>
      </w:r>
    </w:p>
    <w:p>
      <w:pPr>
        <w:keepNext w:val="0"/>
        <w:keepLines w:val="0"/>
        <w:pageBreakBefore w:val="0"/>
        <w:widowControl w:val="0"/>
        <w:kinsoku/>
        <w:wordWrap/>
        <w:overflowPunct/>
        <w:topLinePunct w:val="0"/>
        <w:autoSpaceDE/>
        <w:autoSpaceDN/>
        <w:bidi w:val="0"/>
        <w:adjustRightInd/>
        <w:spacing w:line="390" w:lineRule="exact"/>
        <w:ind w:firstLine="360" w:firstLineChars="150"/>
        <w:textAlignment w:val="auto"/>
        <w:rPr>
          <w:rFonts w:hint="eastAsia" w:asciiTheme="majorEastAsia" w:hAnsiTheme="majorEastAsia" w:eastAsiaTheme="majorEastAsia"/>
          <w:sz w:val="24"/>
        </w:rPr>
      </w:pPr>
      <w:r>
        <w:rPr>
          <w:rFonts w:hint="eastAsia" w:asciiTheme="majorEastAsia" w:hAnsiTheme="majorEastAsia" w:eastAsiaTheme="majorEastAsia"/>
          <w:sz w:val="24"/>
        </w:rPr>
        <w:t>十一、评估报告日</w:t>
      </w:r>
    </w:p>
    <w:p>
      <w:pPr>
        <w:keepNext w:val="0"/>
        <w:keepLines w:val="0"/>
        <w:pageBreakBefore w:val="0"/>
        <w:widowControl w:val="0"/>
        <w:kinsoku/>
        <w:wordWrap/>
        <w:overflowPunct/>
        <w:topLinePunct w:val="0"/>
        <w:autoSpaceDE/>
        <w:autoSpaceDN/>
        <w:bidi w:val="0"/>
        <w:adjustRightInd/>
        <w:spacing w:line="390" w:lineRule="exact"/>
        <w:ind w:firstLine="480" w:firstLineChars="200"/>
        <w:textAlignment w:val="auto"/>
        <w:rPr>
          <w:rFonts w:hint="eastAsia" w:asciiTheme="majorEastAsia" w:hAnsiTheme="majorEastAsia" w:eastAsiaTheme="majorEastAsia"/>
          <w:b/>
          <w:sz w:val="24"/>
        </w:rPr>
      </w:pPr>
      <w:r>
        <w:rPr>
          <w:rFonts w:hint="eastAsia" w:asciiTheme="majorEastAsia" w:hAnsiTheme="majorEastAsia" w:eastAsiaTheme="majorEastAsia"/>
          <w:sz w:val="24"/>
        </w:rPr>
        <w:t>评估报告出具日期为</w:t>
      </w:r>
      <w:r>
        <w:rPr>
          <w:rFonts w:hint="eastAsia" w:asciiTheme="majorEastAsia" w:hAnsiTheme="majorEastAsia" w:eastAsiaTheme="majorEastAsia"/>
          <w:sz w:val="24"/>
          <w:lang w:eastAsia="zh-CN"/>
        </w:rPr>
        <w:t>二〇二二年</w:t>
      </w:r>
      <w:r>
        <w:rPr>
          <w:rFonts w:hint="eastAsia" w:asciiTheme="majorEastAsia" w:hAnsiTheme="majorEastAsia" w:eastAsiaTheme="majorEastAsia"/>
          <w:sz w:val="24"/>
          <w:highlight w:val="none"/>
          <w:lang w:eastAsia="zh-CN"/>
        </w:rPr>
        <w:t>四月六日</w:t>
      </w:r>
      <w:r>
        <w:rPr>
          <w:rFonts w:hint="eastAsia" w:asciiTheme="majorEastAsia" w:hAnsiTheme="majorEastAsia" w:eastAsiaTheme="majorEastAsia"/>
          <w:sz w:val="24"/>
        </w:rPr>
        <w:t>。评估报告日是评估意见形成日期。</w:t>
      </w:r>
    </w:p>
    <w:p>
      <w:pPr>
        <w:keepNext w:val="0"/>
        <w:keepLines w:val="0"/>
        <w:pageBreakBefore w:val="0"/>
        <w:widowControl w:val="0"/>
        <w:kinsoku/>
        <w:wordWrap/>
        <w:overflowPunct/>
        <w:topLinePunct w:val="0"/>
        <w:autoSpaceDE/>
        <w:autoSpaceDN/>
        <w:bidi w:val="0"/>
        <w:adjustRightInd/>
        <w:spacing w:line="390" w:lineRule="exact"/>
        <w:jc w:val="center"/>
        <w:textAlignment w:val="auto"/>
        <w:rPr>
          <w:rFonts w:asciiTheme="majorEastAsia" w:hAnsiTheme="majorEastAsia" w:eastAsiaTheme="majorEastAsia"/>
          <w:sz w:val="24"/>
        </w:rPr>
      </w:pPr>
      <w:r>
        <w:rPr>
          <w:rFonts w:hint="eastAsia" w:asciiTheme="majorEastAsia" w:hAnsiTheme="majorEastAsia" w:eastAsiaTheme="majorEastAsia"/>
          <w:b/>
          <w:sz w:val="24"/>
        </w:rPr>
        <w:t>重　要　提　示</w:t>
      </w:r>
    </w:p>
    <w:p>
      <w:pPr>
        <w:pStyle w:val="4"/>
        <w:keepNext w:val="0"/>
        <w:keepLines w:val="0"/>
        <w:pageBreakBefore w:val="0"/>
        <w:widowControl w:val="0"/>
        <w:tabs>
          <w:tab w:val="left" w:pos="0"/>
        </w:tabs>
        <w:kinsoku/>
        <w:wordWrap/>
        <w:overflowPunct/>
        <w:topLinePunct w:val="0"/>
        <w:autoSpaceDE/>
        <w:autoSpaceDN/>
        <w:bidi w:val="0"/>
        <w:adjustRightInd/>
        <w:snapToGrid w:val="0"/>
        <w:spacing w:line="390" w:lineRule="exact"/>
        <w:ind w:firstLine="480" w:firstLineChars="200"/>
        <w:textAlignment w:val="auto"/>
        <w:rPr>
          <w:rFonts w:asciiTheme="majorEastAsia" w:hAnsiTheme="majorEastAsia" w:eastAsiaTheme="majorEastAsia"/>
        </w:rPr>
      </w:pPr>
    </w:p>
    <w:p>
      <w:pPr>
        <w:pStyle w:val="4"/>
        <w:keepNext w:val="0"/>
        <w:keepLines w:val="0"/>
        <w:pageBreakBefore w:val="0"/>
        <w:widowControl w:val="0"/>
        <w:tabs>
          <w:tab w:val="left" w:pos="0"/>
        </w:tabs>
        <w:kinsoku/>
        <w:wordWrap/>
        <w:overflowPunct/>
        <w:topLinePunct w:val="0"/>
        <w:autoSpaceDE/>
        <w:autoSpaceDN/>
        <w:bidi w:val="0"/>
        <w:adjustRightInd/>
        <w:snapToGrid w:val="0"/>
        <w:spacing w:line="390" w:lineRule="exact"/>
        <w:ind w:firstLine="480" w:firstLineChars="200"/>
        <w:textAlignment w:val="auto"/>
        <w:rPr>
          <w:rFonts w:asciiTheme="majorEastAsia" w:hAnsiTheme="majorEastAsia" w:eastAsiaTheme="majorEastAsia"/>
          <w:b/>
          <w:spacing w:val="4"/>
          <w:sz w:val="21"/>
          <w:szCs w:val="21"/>
        </w:rPr>
      </w:pPr>
      <w:r>
        <w:rPr>
          <w:rFonts w:hint="eastAsia" w:asciiTheme="majorEastAsia" w:hAnsiTheme="majorEastAsia" w:eastAsiaTheme="majorEastAsia"/>
        </w:rPr>
        <w:t>以上内容摘自评估报告正文，欲了解本评估项目的详细情况和合理理解评估结论，应当阅读评估报告正文。</w:t>
      </w:r>
      <w:r>
        <w:rPr>
          <w:rFonts w:asciiTheme="majorEastAsia" w:hAnsiTheme="majorEastAsia" w:eastAsiaTheme="majorEastAsia"/>
          <w:b/>
          <w:spacing w:val="4"/>
          <w:sz w:val="21"/>
          <w:szCs w:val="21"/>
        </w:rPr>
        <w:br w:type="page"/>
      </w:r>
    </w:p>
    <w:p>
      <w:pPr>
        <w:jc w:val="center"/>
        <w:rPr>
          <w:rFonts w:hint="eastAsia" w:asciiTheme="majorEastAsia" w:hAnsiTheme="majorEastAsia" w:eastAsiaTheme="majorEastAsia"/>
          <w:b/>
          <w:spacing w:val="4"/>
          <w:sz w:val="36"/>
          <w:szCs w:val="36"/>
        </w:rPr>
      </w:pPr>
      <w:r>
        <w:rPr>
          <w:rFonts w:hint="eastAsia" w:asciiTheme="majorEastAsia" w:hAnsiTheme="majorEastAsia" w:eastAsiaTheme="majorEastAsia"/>
          <w:b/>
          <w:spacing w:val="4"/>
          <w:sz w:val="36"/>
          <w:szCs w:val="36"/>
          <w:lang w:eastAsia="zh-CN"/>
        </w:rPr>
        <w:t>辽源市龙山区人民法院拟司法执行财产处置</w:t>
      </w:r>
      <w:r>
        <w:rPr>
          <w:rFonts w:hint="eastAsia" w:asciiTheme="majorEastAsia" w:hAnsiTheme="majorEastAsia" w:eastAsiaTheme="majorEastAsia"/>
          <w:b/>
          <w:spacing w:val="4"/>
          <w:sz w:val="36"/>
          <w:szCs w:val="36"/>
        </w:rPr>
        <w:t>涉及的</w:t>
      </w:r>
    </w:p>
    <w:p>
      <w:pPr>
        <w:jc w:val="center"/>
        <w:rPr>
          <w:rFonts w:hint="eastAsia" w:asciiTheme="majorEastAsia" w:hAnsiTheme="majorEastAsia" w:eastAsiaTheme="majorEastAsia"/>
          <w:b/>
          <w:spacing w:val="4"/>
          <w:sz w:val="36"/>
          <w:szCs w:val="36"/>
        </w:rPr>
      </w:pPr>
      <w:r>
        <w:rPr>
          <w:rFonts w:hint="eastAsia" w:asciiTheme="majorEastAsia" w:hAnsiTheme="majorEastAsia" w:eastAsiaTheme="majorEastAsia"/>
          <w:b/>
          <w:spacing w:val="4"/>
          <w:sz w:val="36"/>
          <w:szCs w:val="36"/>
          <w:lang w:eastAsia="zh-CN"/>
        </w:rPr>
        <w:t>赵利辉住宅价值</w:t>
      </w:r>
      <w:r>
        <w:rPr>
          <w:rFonts w:hint="eastAsia" w:asciiTheme="majorEastAsia" w:hAnsiTheme="majorEastAsia" w:eastAsiaTheme="majorEastAsia"/>
          <w:b/>
          <w:spacing w:val="4"/>
          <w:sz w:val="36"/>
          <w:szCs w:val="36"/>
        </w:rPr>
        <w:t>资产评估报告</w:t>
      </w:r>
    </w:p>
    <w:p>
      <w:pPr>
        <w:keepNext w:val="0"/>
        <w:keepLines w:val="0"/>
        <w:pageBreakBefore w:val="0"/>
        <w:kinsoku/>
        <w:wordWrap/>
        <w:overflowPunct/>
        <w:topLinePunct w:val="0"/>
        <w:bidi w:val="0"/>
        <w:adjustRightInd/>
        <w:spacing w:line="400" w:lineRule="exact"/>
        <w:jc w:val="center"/>
        <w:rPr>
          <w:rFonts w:hint="eastAsia" w:ascii="黑体" w:eastAsia="黑体"/>
          <w:b/>
          <w:color w:val="FF0000"/>
          <w:sz w:val="52"/>
          <w:szCs w:val="52"/>
          <w:lang w:eastAsia="zh-CN"/>
        </w:rPr>
      </w:pPr>
      <w:r>
        <w:rPr>
          <w:rFonts w:hint="eastAsia" w:ascii="黑体" w:eastAsia="黑体"/>
          <w:szCs w:val="21"/>
          <w:lang w:eastAsia="zh-CN"/>
        </w:rPr>
        <w:t>辽新安评报字[202</w:t>
      </w:r>
      <w:r>
        <w:rPr>
          <w:rFonts w:hint="eastAsia" w:ascii="黑体" w:eastAsia="黑体"/>
          <w:szCs w:val="21"/>
          <w:lang w:val="en-US" w:eastAsia="zh-CN"/>
        </w:rPr>
        <w:t>2</w:t>
      </w:r>
      <w:r>
        <w:rPr>
          <w:rFonts w:hint="eastAsia" w:ascii="黑体" w:eastAsia="黑体"/>
          <w:szCs w:val="21"/>
          <w:lang w:eastAsia="zh-CN"/>
        </w:rPr>
        <w:t>]第</w:t>
      </w:r>
      <w:r>
        <w:rPr>
          <w:rFonts w:hint="eastAsia" w:ascii="黑体" w:eastAsia="黑体"/>
          <w:szCs w:val="21"/>
          <w:highlight w:val="none"/>
          <w:lang w:val="en-US" w:eastAsia="zh-CN"/>
        </w:rPr>
        <w:t>025</w:t>
      </w:r>
      <w:r>
        <w:rPr>
          <w:rFonts w:hint="eastAsia" w:ascii="黑体" w:eastAsia="黑体"/>
          <w:szCs w:val="21"/>
          <w:highlight w:val="none"/>
          <w:lang w:eastAsia="zh-CN"/>
        </w:rPr>
        <w:t>号</w:t>
      </w:r>
    </w:p>
    <w:p>
      <w:pPr>
        <w:spacing w:line="440" w:lineRule="exact"/>
        <w:jc w:val="left"/>
        <w:rPr>
          <w:rFonts w:asciiTheme="majorEastAsia" w:hAnsiTheme="majorEastAsia" w:eastAsiaTheme="majorEastAsia"/>
          <w:b/>
          <w:sz w:val="24"/>
        </w:rPr>
      </w:pPr>
      <w:r>
        <w:rPr>
          <w:rFonts w:hint="eastAsia" w:asciiTheme="majorEastAsia" w:hAnsiTheme="majorEastAsia" w:eastAsiaTheme="majorEastAsia"/>
          <w:b/>
          <w:sz w:val="24"/>
          <w:lang w:eastAsia="zh-CN"/>
        </w:rPr>
        <w:t>辽源市龙山区人民法院</w:t>
      </w:r>
      <w:r>
        <w:rPr>
          <w:rFonts w:hint="eastAsia" w:asciiTheme="majorEastAsia" w:hAnsiTheme="majorEastAsia" w:eastAsiaTheme="majorEastAsia"/>
          <w:b/>
          <w:sz w:val="24"/>
        </w:rPr>
        <w:t>司法辅助办公室：</w:t>
      </w:r>
    </w:p>
    <w:p>
      <w:pPr>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辽源新安资产评估事务所（普通合伙）接受</w:t>
      </w:r>
      <w:r>
        <w:rPr>
          <w:rFonts w:hint="eastAsia" w:asciiTheme="majorEastAsia" w:hAnsiTheme="majorEastAsia" w:eastAsiaTheme="majorEastAsia"/>
          <w:sz w:val="24"/>
          <w:lang w:eastAsia="zh-CN"/>
        </w:rPr>
        <w:t>辽源市龙山区人民法院司法辅助办公室</w:t>
      </w:r>
      <w:r>
        <w:rPr>
          <w:rFonts w:hint="eastAsia" w:asciiTheme="majorEastAsia" w:hAnsiTheme="majorEastAsia" w:eastAsiaTheme="majorEastAsia"/>
          <w:sz w:val="24"/>
        </w:rPr>
        <w:t>的委托，</w:t>
      </w:r>
      <w:r>
        <w:rPr>
          <w:rFonts w:hint="eastAsia" w:asciiTheme="majorEastAsia" w:hAnsiTheme="majorEastAsia" w:eastAsiaTheme="majorEastAsia"/>
          <w:sz w:val="24"/>
          <w:lang w:eastAsia="zh-CN"/>
        </w:rPr>
        <w:t>遵守</w:t>
      </w:r>
      <w:r>
        <w:rPr>
          <w:rFonts w:hint="eastAsia" w:asciiTheme="majorEastAsia" w:hAnsiTheme="majorEastAsia" w:eastAsiaTheme="majorEastAsia"/>
          <w:sz w:val="24"/>
        </w:rPr>
        <w:t>国家关于资产评估的有关法律</w:t>
      </w:r>
      <w:r>
        <w:rPr>
          <w:rFonts w:hint="eastAsia" w:asciiTheme="majorEastAsia" w:hAnsiTheme="majorEastAsia" w:eastAsiaTheme="majorEastAsia"/>
          <w:sz w:val="24"/>
          <w:lang w:eastAsia="zh-CN"/>
        </w:rPr>
        <w:t>及行政</w:t>
      </w:r>
      <w:r>
        <w:rPr>
          <w:rFonts w:hint="eastAsia" w:asciiTheme="majorEastAsia" w:hAnsiTheme="majorEastAsia" w:eastAsiaTheme="majorEastAsia"/>
          <w:sz w:val="24"/>
        </w:rPr>
        <w:t>法规和</w:t>
      </w:r>
      <w:r>
        <w:rPr>
          <w:rFonts w:hint="eastAsia" w:asciiTheme="majorEastAsia" w:hAnsiTheme="majorEastAsia" w:eastAsiaTheme="majorEastAsia"/>
          <w:sz w:val="24"/>
          <w:lang w:eastAsia="zh-CN"/>
        </w:rPr>
        <w:t>司法解释及</w:t>
      </w:r>
      <w:r>
        <w:rPr>
          <w:rFonts w:hint="eastAsia" w:asciiTheme="majorEastAsia" w:hAnsiTheme="majorEastAsia" w:eastAsiaTheme="majorEastAsia"/>
          <w:sz w:val="24"/>
        </w:rPr>
        <w:t>评估准则，</w:t>
      </w:r>
      <w:r>
        <w:rPr>
          <w:rFonts w:hint="eastAsia" w:asciiTheme="majorEastAsia" w:hAnsiTheme="majorEastAsia" w:eastAsiaTheme="majorEastAsia"/>
          <w:sz w:val="24"/>
          <w:lang w:eastAsia="zh-CN"/>
        </w:rPr>
        <w:t>坚持</w:t>
      </w:r>
      <w:r>
        <w:rPr>
          <w:rFonts w:hint="eastAsia" w:asciiTheme="majorEastAsia" w:hAnsiTheme="majorEastAsia" w:eastAsiaTheme="majorEastAsia"/>
          <w:sz w:val="24"/>
        </w:rPr>
        <w:t>“独立、客观、公正”的评估原则，按照公认的资产评估方法，</w:t>
      </w:r>
      <w:r>
        <w:rPr>
          <w:rFonts w:hint="eastAsia" w:asciiTheme="majorEastAsia" w:hAnsiTheme="majorEastAsia" w:eastAsiaTheme="majorEastAsia"/>
          <w:sz w:val="24"/>
          <w:lang w:eastAsia="zh-CN"/>
        </w:rPr>
        <w:t>履行必要的评估程序，</w:t>
      </w:r>
      <w:r>
        <w:rPr>
          <w:rFonts w:hint="eastAsia" w:asciiTheme="majorEastAsia" w:hAnsiTheme="majorEastAsia" w:eastAsiaTheme="majorEastAsia"/>
          <w:sz w:val="24"/>
        </w:rPr>
        <w:t>对</w:t>
      </w:r>
      <w:r>
        <w:rPr>
          <w:rFonts w:hint="eastAsia" w:asciiTheme="majorEastAsia" w:hAnsiTheme="majorEastAsia" w:eastAsiaTheme="majorEastAsia"/>
          <w:sz w:val="24"/>
          <w:lang w:eastAsia="zh-CN"/>
        </w:rPr>
        <w:t>辽源市龙山区人民法院司法辅助办公室拟司法执行财产处置</w:t>
      </w:r>
      <w:r>
        <w:rPr>
          <w:rFonts w:hint="eastAsia" w:asciiTheme="majorEastAsia" w:hAnsiTheme="majorEastAsia" w:eastAsiaTheme="majorEastAsia"/>
          <w:sz w:val="24"/>
        </w:rPr>
        <w:t>事宜涉及的</w:t>
      </w:r>
      <w:r>
        <w:rPr>
          <w:rFonts w:hint="eastAsia" w:asciiTheme="majorEastAsia" w:hAnsiTheme="majorEastAsia" w:eastAsiaTheme="majorEastAsia"/>
          <w:sz w:val="24"/>
          <w:lang w:eastAsia="zh-CN"/>
        </w:rPr>
        <w:t>赵利辉拥有的位于本市房开9403号楼-102室（建筑面积48.29平方米）、房开9403号楼-201室（建筑面积115.2平方米）</w:t>
      </w:r>
      <w:r>
        <w:rPr>
          <w:rFonts w:hint="eastAsia" w:asciiTheme="majorEastAsia" w:hAnsiTheme="majorEastAsia" w:eastAsiaTheme="majorEastAsia"/>
          <w:sz w:val="24"/>
          <w:lang w:val="en-US" w:eastAsia="zh-CN"/>
        </w:rPr>
        <w:t>2</w:t>
      </w:r>
      <w:r>
        <w:rPr>
          <w:rFonts w:hint="eastAsia" w:asciiTheme="majorEastAsia" w:hAnsiTheme="majorEastAsia" w:eastAsiaTheme="majorEastAsia"/>
          <w:sz w:val="24"/>
          <w:lang w:eastAsia="zh-CN"/>
        </w:rPr>
        <w:t>处</w:t>
      </w:r>
      <w:r>
        <w:rPr>
          <w:rFonts w:hint="eastAsia" w:asciiTheme="majorEastAsia" w:hAnsiTheme="majorEastAsia" w:eastAsiaTheme="majorEastAsia"/>
          <w:sz w:val="24"/>
          <w:lang w:val="en-US" w:eastAsia="zh-CN"/>
        </w:rPr>
        <w:t>住宅用房</w:t>
      </w:r>
      <w:r>
        <w:rPr>
          <w:rFonts w:hint="eastAsia" w:asciiTheme="majorEastAsia" w:hAnsiTheme="majorEastAsia" w:eastAsiaTheme="majorEastAsia"/>
          <w:sz w:val="24"/>
          <w:lang w:eastAsia="zh-CN"/>
        </w:rPr>
        <w:t>，</w:t>
      </w:r>
      <w:r>
        <w:rPr>
          <w:rFonts w:hint="eastAsia" w:asciiTheme="majorEastAsia" w:hAnsiTheme="majorEastAsia" w:eastAsiaTheme="majorEastAsia"/>
          <w:sz w:val="24"/>
        </w:rPr>
        <w:t>在评估基准日二〇</w:t>
      </w:r>
      <w:r>
        <w:rPr>
          <w:rFonts w:hint="eastAsia" w:asciiTheme="majorEastAsia" w:hAnsiTheme="majorEastAsia" w:eastAsiaTheme="majorEastAsia"/>
          <w:sz w:val="24"/>
          <w:lang w:eastAsia="zh-CN"/>
        </w:rPr>
        <w:t>二二年二月二十三日</w:t>
      </w:r>
      <w:r>
        <w:rPr>
          <w:rFonts w:hint="eastAsia" w:asciiTheme="majorEastAsia" w:hAnsiTheme="majorEastAsia" w:eastAsiaTheme="majorEastAsia"/>
          <w:sz w:val="24"/>
        </w:rPr>
        <w:t>的市场价值进行了评估。现将资产评估结果报告如下：</w:t>
      </w:r>
    </w:p>
    <w:p>
      <w:pPr>
        <w:spacing w:line="440" w:lineRule="exact"/>
        <w:ind w:firstLine="482" w:firstLineChars="200"/>
        <w:jc w:val="left"/>
        <w:rPr>
          <w:rFonts w:asciiTheme="majorEastAsia" w:hAnsiTheme="majorEastAsia" w:eastAsiaTheme="majorEastAsia"/>
          <w:b/>
          <w:sz w:val="24"/>
        </w:rPr>
      </w:pPr>
      <w:r>
        <w:rPr>
          <w:rFonts w:hint="eastAsia" w:asciiTheme="majorEastAsia" w:hAnsiTheme="majorEastAsia" w:eastAsiaTheme="majorEastAsia"/>
          <w:b/>
          <w:sz w:val="24"/>
        </w:rPr>
        <w:t>一、委托人、产权持有人和委托人以外的评估报告使用人</w:t>
      </w:r>
    </w:p>
    <w:p>
      <w:pPr>
        <w:spacing w:line="44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（一）委托人：</w:t>
      </w:r>
      <w:r>
        <w:rPr>
          <w:rFonts w:hint="eastAsia" w:asciiTheme="majorEastAsia" w:hAnsiTheme="majorEastAsia" w:eastAsiaTheme="majorEastAsia"/>
          <w:sz w:val="24"/>
          <w:lang w:eastAsia="zh-CN"/>
        </w:rPr>
        <w:t>辽源市龙山区人民法院</w:t>
      </w:r>
      <w:r>
        <w:rPr>
          <w:rFonts w:hint="eastAsia" w:asciiTheme="majorEastAsia" w:hAnsiTheme="majorEastAsia" w:eastAsiaTheme="majorEastAsia"/>
          <w:sz w:val="24"/>
        </w:rPr>
        <w:t>司法辅助办公室</w:t>
      </w:r>
    </w:p>
    <w:p>
      <w:pPr>
        <w:numPr>
          <w:ilvl w:val="0"/>
          <w:numId w:val="2"/>
        </w:numPr>
        <w:spacing w:line="44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产权持有人：</w:t>
      </w:r>
      <w:r>
        <w:rPr>
          <w:rFonts w:hint="eastAsia" w:asciiTheme="majorEastAsia" w:hAnsiTheme="majorEastAsia" w:eastAsiaTheme="majorEastAsia"/>
          <w:sz w:val="24"/>
          <w:lang w:eastAsia="zh-CN"/>
        </w:rPr>
        <w:t>赵利辉</w:t>
      </w:r>
    </w:p>
    <w:p>
      <w:pPr>
        <w:spacing w:line="440" w:lineRule="exact"/>
        <w:jc w:val="left"/>
        <w:rPr>
          <w:rFonts w:asciiTheme="majorEastAsia" w:hAnsiTheme="majorEastAsia" w:eastAsiaTheme="majorEastAsia"/>
          <w:sz w:val="24"/>
        </w:rPr>
      </w:pPr>
      <w:r>
        <w:rPr>
          <w:rFonts w:hint="eastAsia" w:asciiTheme="majorEastAsia" w:hAnsiTheme="majorEastAsia" w:eastAsiaTheme="majorEastAsia"/>
          <w:sz w:val="24"/>
        </w:rPr>
        <w:t xml:space="preserve">    （三）委托人以外的评估报告使用人</w:t>
      </w:r>
    </w:p>
    <w:p>
      <w:pPr>
        <w:spacing w:line="440" w:lineRule="exact"/>
        <w:ind w:firstLine="1200" w:firstLineChars="500"/>
        <w:jc w:val="left"/>
        <w:rPr>
          <w:rFonts w:asciiTheme="majorEastAsia" w:hAnsiTheme="majorEastAsia" w:eastAsiaTheme="majorEastAsia"/>
          <w:sz w:val="24"/>
        </w:rPr>
      </w:pPr>
      <w:r>
        <w:rPr>
          <w:rFonts w:hint="eastAsia" w:asciiTheme="majorEastAsia" w:hAnsiTheme="majorEastAsia" w:eastAsiaTheme="majorEastAsia"/>
          <w:sz w:val="24"/>
        </w:rPr>
        <w:t>案件当事人及法律法规规定的报告使用人</w:t>
      </w:r>
    </w:p>
    <w:p>
      <w:pPr>
        <w:keepNext w:val="0"/>
        <w:keepLines w:val="0"/>
        <w:pageBreakBefore w:val="0"/>
        <w:widowControl w:val="0"/>
        <w:kinsoku/>
        <w:wordWrap/>
        <w:overflowPunct/>
        <w:topLinePunct w:val="0"/>
        <w:autoSpaceDE/>
        <w:autoSpaceDN/>
        <w:bidi w:val="0"/>
        <w:adjustRightInd/>
        <w:spacing w:line="390" w:lineRule="exact"/>
        <w:ind w:firstLine="422" w:firstLineChars="175"/>
        <w:textAlignment w:val="auto"/>
        <w:rPr>
          <w:rFonts w:asciiTheme="majorEastAsia" w:hAnsiTheme="majorEastAsia" w:eastAsiaTheme="majorEastAsia"/>
          <w:spacing w:val="-4"/>
          <w:sz w:val="24"/>
        </w:rPr>
      </w:pPr>
      <w:r>
        <w:rPr>
          <w:rFonts w:hint="eastAsia" w:asciiTheme="majorEastAsia" w:hAnsiTheme="majorEastAsia" w:eastAsiaTheme="majorEastAsia"/>
          <w:b/>
          <w:sz w:val="24"/>
        </w:rPr>
        <w:t>二、评估目的：</w:t>
      </w:r>
      <w:r>
        <w:rPr>
          <w:rFonts w:hint="eastAsia" w:asciiTheme="majorEastAsia" w:hAnsiTheme="majorEastAsia" w:eastAsiaTheme="majorEastAsia"/>
          <w:sz w:val="24"/>
          <w:lang w:eastAsia="zh-CN"/>
        </w:rPr>
        <w:t>为辽源市龙山区人民法院司法辅助办公室拟司法执行财产处置涉及的赵利辉的住宅提供价值参考意见。</w:t>
      </w:r>
    </w:p>
    <w:p>
      <w:pPr>
        <w:keepNext w:val="0"/>
        <w:keepLines w:val="0"/>
        <w:pageBreakBefore w:val="0"/>
        <w:widowControl w:val="0"/>
        <w:kinsoku/>
        <w:wordWrap/>
        <w:overflowPunct/>
        <w:topLinePunct w:val="0"/>
        <w:autoSpaceDE/>
        <w:autoSpaceDN/>
        <w:bidi w:val="0"/>
        <w:adjustRightInd/>
        <w:spacing w:line="390" w:lineRule="exact"/>
        <w:ind w:firstLine="422" w:firstLineChars="175"/>
        <w:textAlignment w:val="auto"/>
        <w:rPr>
          <w:rFonts w:hint="eastAsia" w:cs="Times New Roman" w:asciiTheme="majorEastAsia" w:hAnsiTheme="majorEastAsia" w:eastAsiaTheme="majorEastAsia"/>
          <w:b/>
          <w:sz w:val="24"/>
        </w:rPr>
      </w:pPr>
      <w:r>
        <w:rPr>
          <w:rFonts w:hint="eastAsia" w:cs="Times New Roman" w:asciiTheme="majorEastAsia" w:hAnsiTheme="majorEastAsia" w:eastAsiaTheme="majorEastAsia"/>
          <w:b/>
          <w:sz w:val="24"/>
        </w:rPr>
        <w:t>三、评估对象和评估范围</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175"/>
        <w:textAlignment w:val="auto"/>
        <w:rPr>
          <w:rFonts w:hint="eastAsia" w:asciiTheme="majorEastAsia" w:hAnsiTheme="majorEastAsia" w:eastAsiaTheme="majorEastAsia"/>
          <w:sz w:val="24"/>
        </w:rPr>
      </w:pPr>
      <w:r>
        <w:rPr>
          <w:rFonts w:hint="eastAsia" w:asciiTheme="majorEastAsia" w:hAnsiTheme="majorEastAsia" w:eastAsiaTheme="majorEastAsia"/>
          <w:sz w:val="24"/>
        </w:rPr>
        <w:t>根据评估委托书和相关当事人的指认，评估对象为委托人司法执行财产处置事宜涉及的</w:t>
      </w:r>
      <w:r>
        <w:rPr>
          <w:rFonts w:hint="eastAsia" w:asciiTheme="majorEastAsia" w:hAnsiTheme="majorEastAsia" w:eastAsiaTheme="majorEastAsia"/>
          <w:sz w:val="24"/>
          <w:lang w:eastAsia="zh-CN"/>
        </w:rPr>
        <w:t>赵利辉</w:t>
      </w:r>
      <w:r>
        <w:rPr>
          <w:rFonts w:hint="eastAsia" w:asciiTheme="majorEastAsia" w:hAnsiTheme="majorEastAsia" w:eastAsiaTheme="majorEastAsia"/>
          <w:sz w:val="24"/>
        </w:rPr>
        <w:t>的</w:t>
      </w:r>
      <w:r>
        <w:rPr>
          <w:rFonts w:hint="eastAsia" w:asciiTheme="majorEastAsia" w:hAnsiTheme="majorEastAsia" w:eastAsiaTheme="majorEastAsia"/>
          <w:sz w:val="24"/>
          <w:lang w:val="en-US" w:eastAsia="zh-CN"/>
        </w:rPr>
        <w:t>2处住宅用房</w:t>
      </w:r>
      <w:r>
        <w:rPr>
          <w:rFonts w:hint="eastAsia" w:asciiTheme="majorEastAsia" w:hAnsiTheme="majorEastAsia" w:eastAsiaTheme="majorEastAsia"/>
          <w:sz w:val="24"/>
        </w:rPr>
        <w:t>在评估基准日的市场价值。</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175"/>
        <w:textAlignment w:val="auto"/>
        <w:rPr>
          <w:rFonts w:hint="eastAsia" w:asciiTheme="majorEastAsia" w:hAnsiTheme="majorEastAsia" w:eastAsiaTheme="majorEastAsia"/>
          <w:sz w:val="24"/>
          <w:lang w:val="en-US" w:eastAsia="zh-CN"/>
        </w:rPr>
      </w:pPr>
      <w:r>
        <w:rPr>
          <w:rFonts w:hint="eastAsia" w:asciiTheme="majorEastAsia" w:hAnsiTheme="majorEastAsia" w:eastAsiaTheme="majorEastAsia"/>
          <w:sz w:val="24"/>
        </w:rPr>
        <w:t>评估范围：委托人申报的位于本市房开9403号楼-102室（建筑面积48.29平方米）、房开9403号楼-201室（建筑面积115.2平方米）2处住宅用房</w:t>
      </w:r>
      <w:r>
        <w:rPr>
          <w:rFonts w:hint="eastAsia" w:asciiTheme="majorEastAsia" w:hAnsiTheme="majorEastAsia" w:eastAsiaTheme="majorEastAsia"/>
          <w:sz w:val="24"/>
          <w:lang w:val="en-US" w:eastAsia="zh-CN"/>
        </w:rPr>
        <w:t>，</w:t>
      </w:r>
      <w:r>
        <w:rPr>
          <w:rFonts w:hint="eastAsia" w:asciiTheme="majorEastAsia" w:hAnsiTheme="majorEastAsia" w:eastAsiaTheme="majorEastAsia"/>
          <w:sz w:val="24"/>
          <w:lang w:eastAsia="zh-CN"/>
        </w:rPr>
        <w:t>包含房屋分摊的土地使用权及不可移动的装修</w:t>
      </w:r>
      <w:r>
        <w:rPr>
          <w:rFonts w:hint="eastAsia" w:asciiTheme="majorEastAsia" w:hAnsiTheme="majorEastAsia" w:eastAsiaTheme="majorEastAsia"/>
          <w:sz w:val="24"/>
          <w:lang w:val="en-US" w:eastAsia="zh-CN"/>
        </w:rPr>
        <w:t>。状况如下：</w:t>
      </w:r>
    </w:p>
    <w:p>
      <w:pPr>
        <w:keepNext w:val="0"/>
        <w:keepLines w:val="0"/>
        <w:pageBreakBefore w:val="0"/>
        <w:widowControl w:val="0"/>
        <w:kinsoku/>
        <w:wordWrap/>
        <w:overflowPunct/>
        <w:topLinePunct w:val="0"/>
        <w:autoSpaceDE/>
        <w:autoSpaceDN/>
        <w:bidi w:val="0"/>
        <w:adjustRightInd/>
        <w:snapToGrid/>
        <w:spacing w:line="312" w:lineRule="auto"/>
        <w:ind w:firstLine="420" w:firstLineChars="175"/>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根据委托人提供的《不动产查询结果证明》：①该房屋权利人：</w:t>
      </w:r>
      <w:r>
        <w:rPr>
          <w:rFonts w:hint="eastAsia" w:ascii="宋体" w:hAnsi="宋体" w:eastAsia="宋体" w:cs="宋体"/>
          <w:sz w:val="24"/>
          <w:szCs w:val="24"/>
          <w:lang w:eastAsia="zh-CN"/>
        </w:rPr>
        <w:t>赵利辉</w:t>
      </w:r>
      <w:r>
        <w:rPr>
          <w:rFonts w:hint="eastAsia" w:ascii="宋体" w:hAnsi="宋体" w:eastAsia="宋体" w:cs="宋体"/>
          <w:sz w:val="24"/>
          <w:szCs w:val="24"/>
          <w:lang w:val="en-US" w:eastAsia="zh-CN"/>
        </w:rPr>
        <w:t>，不动产单元号：220402001001GB00063F00010004，不动产权证号：069434，坐落：房开9403号楼-102；结构：混合；用途：住宅；总层数7层，房屋所在层数1层。建筑面积48.29平方米。②该房屋权利人：</w:t>
      </w:r>
      <w:r>
        <w:rPr>
          <w:rFonts w:hint="eastAsia" w:ascii="宋体" w:hAnsi="宋体" w:eastAsia="宋体" w:cs="宋体"/>
          <w:sz w:val="24"/>
          <w:szCs w:val="24"/>
          <w:lang w:eastAsia="zh-CN"/>
        </w:rPr>
        <w:t>赵利辉</w:t>
      </w:r>
      <w:r>
        <w:rPr>
          <w:rFonts w:hint="eastAsia" w:ascii="宋体" w:hAnsi="宋体" w:eastAsia="宋体" w:cs="宋体"/>
          <w:sz w:val="24"/>
          <w:szCs w:val="24"/>
          <w:lang w:val="en-US" w:eastAsia="zh-CN"/>
        </w:rPr>
        <w:t>，不动产单元号：220402001001GB00063F00010022，不动产权证号：071845，坐落：房开9403号楼-201；结构：混合；用途：住宅；总层数7层，房屋所在层数2层。建筑面积115.20平方米。</w:t>
      </w:r>
      <w:r>
        <w:rPr>
          <w:rFonts w:hint="eastAsia" w:ascii="宋体" w:hAnsi="宋体" w:cs="宋体"/>
          <w:sz w:val="24"/>
          <w:szCs w:val="24"/>
          <w:lang w:val="en-US" w:eastAsia="zh-CN"/>
        </w:rPr>
        <w:t>装修状况：水电齐全，部分地面瓷砖，厨房墙面瓷砖，PVC棚顶，房间墙面壁纸，白钢扶手，塑钢门窗。</w:t>
      </w:r>
    </w:p>
    <w:p>
      <w:pPr>
        <w:keepNext w:val="0"/>
        <w:keepLines w:val="0"/>
        <w:pageBreakBefore w:val="0"/>
        <w:widowControl w:val="0"/>
        <w:kinsoku/>
        <w:wordWrap/>
        <w:overflowPunct/>
        <w:topLinePunct w:val="0"/>
        <w:autoSpaceDE/>
        <w:autoSpaceDN/>
        <w:bidi w:val="0"/>
        <w:adjustRightInd/>
        <w:snapToGrid/>
        <w:spacing w:line="312" w:lineRule="auto"/>
        <w:ind w:firstLine="420" w:firstLineChars="175"/>
        <w:textAlignment w:val="auto"/>
        <w:rPr>
          <w:rFonts w:hint="default" w:asciiTheme="majorEastAsia" w:hAnsiTheme="majorEastAsia" w:eastAsiaTheme="majorEastAsia"/>
          <w:sz w:val="24"/>
          <w:lang w:val="en-US" w:eastAsia="zh-CN"/>
        </w:rPr>
      </w:pPr>
      <w:r>
        <w:rPr>
          <w:rFonts w:hint="eastAsia" w:ascii="宋体" w:hAnsi="宋体" w:cs="宋体"/>
          <w:sz w:val="24"/>
          <w:szCs w:val="24"/>
          <w:lang w:val="en-US" w:eastAsia="zh-CN"/>
        </w:rPr>
        <w:t>四至为：东临人民大街，西临康宁大街，南临西宁大路，北临多寿路。</w:t>
      </w:r>
    </w:p>
    <w:p>
      <w:pPr>
        <w:spacing w:line="460" w:lineRule="exact"/>
        <w:ind w:firstLine="482" w:firstLineChars="200"/>
        <w:rPr>
          <w:rFonts w:asciiTheme="majorEastAsia" w:hAnsiTheme="majorEastAsia" w:eastAsiaTheme="majorEastAsia"/>
          <w:b/>
          <w:sz w:val="24"/>
        </w:rPr>
      </w:pPr>
      <w:r>
        <w:rPr>
          <w:rFonts w:hint="eastAsia" w:asciiTheme="majorEastAsia" w:hAnsiTheme="majorEastAsia" w:eastAsiaTheme="majorEastAsia"/>
          <w:b/>
          <w:sz w:val="24"/>
        </w:rPr>
        <w:t>本次评估对象及纳入评估范围的资产与经济行为涉及的评估对象和资产范围一致。</w:t>
      </w:r>
    </w:p>
    <w:p>
      <w:pPr>
        <w:spacing w:line="460" w:lineRule="exact"/>
        <w:ind w:firstLine="482" w:firstLineChars="200"/>
        <w:jc w:val="left"/>
        <w:rPr>
          <w:rFonts w:asciiTheme="majorEastAsia" w:hAnsiTheme="majorEastAsia" w:eastAsiaTheme="majorEastAsia"/>
          <w:b/>
          <w:sz w:val="24"/>
        </w:rPr>
      </w:pPr>
      <w:r>
        <w:rPr>
          <w:rFonts w:hint="eastAsia" w:asciiTheme="majorEastAsia" w:hAnsiTheme="majorEastAsia" w:eastAsiaTheme="majorEastAsia"/>
          <w:b/>
          <w:sz w:val="24"/>
        </w:rPr>
        <w:t>四、价值类型及其定义</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资产评估的价值类型是建立在与之相匹配的条件和基础之上的，执行资产评估业务，选择和使用价值类型，应充分考虑评估目的、市场条件和评估对象自身条件等因素。本次资产评估业务影响评估对象价值的因素均无特殊要求，因而选用市场价值作为本次评估结论的价值类型。</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市场价值是指自愿买方和自愿卖方在各自理性行事且未受任何强迫的情况下，评估对象在评估基准日进行正常公平交易的价值估计数额。但不考虑</w:t>
      </w:r>
      <w:r>
        <w:rPr>
          <w:rFonts w:hint="eastAsia" w:asciiTheme="majorEastAsia" w:hAnsiTheme="majorEastAsia" w:eastAsiaTheme="majorEastAsia"/>
          <w:sz w:val="24"/>
          <w:lang w:eastAsia="zh-CN"/>
        </w:rPr>
        <w:t>评估对象</w:t>
      </w:r>
      <w:r>
        <w:rPr>
          <w:rFonts w:hint="eastAsia" w:asciiTheme="majorEastAsia" w:hAnsiTheme="majorEastAsia" w:eastAsiaTheme="majorEastAsia"/>
          <w:sz w:val="24"/>
        </w:rPr>
        <w:t>抵押、查封等因素对价值的影响。不考虑</w:t>
      </w:r>
      <w:r>
        <w:rPr>
          <w:rFonts w:hint="eastAsia" w:asciiTheme="majorEastAsia" w:hAnsiTheme="majorEastAsia" w:eastAsiaTheme="majorEastAsia"/>
          <w:sz w:val="24"/>
          <w:lang w:eastAsia="zh-CN"/>
        </w:rPr>
        <w:t>评估对象</w:t>
      </w:r>
      <w:r>
        <w:rPr>
          <w:rFonts w:hint="eastAsia" w:asciiTheme="majorEastAsia" w:hAnsiTheme="majorEastAsia" w:eastAsiaTheme="majorEastAsia"/>
          <w:sz w:val="24"/>
        </w:rPr>
        <w:t>抵押、查封等因素对价值的影响，是指估价结果不扣除</w:t>
      </w:r>
      <w:r>
        <w:rPr>
          <w:rFonts w:hint="eastAsia" w:asciiTheme="majorEastAsia" w:hAnsiTheme="majorEastAsia" w:eastAsiaTheme="majorEastAsia"/>
          <w:sz w:val="24"/>
          <w:lang w:eastAsia="zh-CN"/>
        </w:rPr>
        <w:t>评估对象</w:t>
      </w:r>
      <w:r>
        <w:rPr>
          <w:rFonts w:hint="eastAsia" w:asciiTheme="majorEastAsia" w:hAnsiTheme="majorEastAsia" w:eastAsiaTheme="majorEastAsia"/>
          <w:sz w:val="24"/>
        </w:rPr>
        <w:t>已抵押担保的债权数额，或拖欠的建设工程价款等法定优先受偿款。</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本报告所称“评估价值”,是指所约定的评估范围与对象在本报告约定的价值类型、评估假设和前提条件下,按照本报告所述程序和方法, 仅为本报告约定评估目的服务而提出的评估意见。需要说明的是,同一资产在不同市场的价值可能存在差异，本次评估基于国内可观察或分析的市场条件和市场环境状况。</w:t>
      </w:r>
    </w:p>
    <w:p>
      <w:pPr>
        <w:spacing w:line="460" w:lineRule="exact"/>
        <w:ind w:firstLine="482" w:firstLineChars="200"/>
        <w:jc w:val="left"/>
        <w:rPr>
          <w:rFonts w:asciiTheme="majorEastAsia" w:hAnsiTheme="majorEastAsia" w:eastAsiaTheme="majorEastAsia"/>
          <w:b/>
          <w:sz w:val="24"/>
        </w:rPr>
      </w:pPr>
      <w:r>
        <w:rPr>
          <w:rFonts w:hint="eastAsia" w:asciiTheme="majorEastAsia" w:hAnsiTheme="majorEastAsia" w:eastAsiaTheme="majorEastAsia"/>
          <w:b/>
          <w:sz w:val="24"/>
        </w:rPr>
        <w:t>五、评估基准日期</w:t>
      </w:r>
    </w:p>
    <w:p>
      <w:pPr>
        <w:spacing w:line="360" w:lineRule="auto"/>
        <w:ind w:firstLine="480" w:firstLineChars="200"/>
        <w:rPr>
          <w:rFonts w:asciiTheme="majorEastAsia" w:hAnsiTheme="majorEastAsia" w:eastAsiaTheme="majorEastAsia"/>
          <w:color w:val="000000"/>
          <w:sz w:val="24"/>
        </w:rPr>
      </w:pPr>
      <w:r>
        <w:rPr>
          <w:rFonts w:hint="eastAsia" w:asciiTheme="majorEastAsia" w:hAnsiTheme="majorEastAsia" w:eastAsiaTheme="majorEastAsia"/>
          <w:color w:val="000000"/>
          <w:sz w:val="24"/>
        </w:rPr>
        <w:t>（一）本项目评估基准日为</w:t>
      </w:r>
      <w:r>
        <w:rPr>
          <w:rFonts w:hint="eastAsia" w:asciiTheme="majorEastAsia" w:hAnsiTheme="majorEastAsia" w:eastAsiaTheme="majorEastAsia"/>
          <w:sz w:val="24"/>
          <w:lang w:eastAsia="zh-CN"/>
        </w:rPr>
        <w:t>202</w:t>
      </w:r>
      <w:r>
        <w:rPr>
          <w:rFonts w:hint="eastAsia" w:asciiTheme="majorEastAsia" w:hAnsiTheme="majorEastAsia" w:eastAsiaTheme="majorEastAsia"/>
          <w:sz w:val="24"/>
          <w:lang w:val="en-US" w:eastAsia="zh-CN"/>
        </w:rPr>
        <w:t>2</w:t>
      </w:r>
      <w:r>
        <w:rPr>
          <w:rFonts w:hint="eastAsia" w:asciiTheme="majorEastAsia" w:hAnsiTheme="majorEastAsia" w:eastAsiaTheme="majorEastAsia"/>
          <w:sz w:val="24"/>
          <w:lang w:eastAsia="zh-CN"/>
        </w:rPr>
        <w:t>年</w:t>
      </w:r>
      <w:r>
        <w:rPr>
          <w:rFonts w:hint="eastAsia" w:asciiTheme="majorEastAsia" w:hAnsiTheme="majorEastAsia" w:eastAsiaTheme="majorEastAsia"/>
          <w:sz w:val="24"/>
          <w:lang w:val="en-US" w:eastAsia="zh-CN"/>
        </w:rPr>
        <w:t>2</w:t>
      </w:r>
      <w:r>
        <w:rPr>
          <w:rFonts w:hint="eastAsia" w:asciiTheme="majorEastAsia" w:hAnsiTheme="majorEastAsia" w:eastAsiaTheme="majorEastAsia"/>
          <w:sz w:val="24"/>
          <w:lang w:eastAsia="zh-CN"/>
        </w:rPr>
        <w:t>月</w:t>
      </w:r>
      <w:r>
        <w:rPr>
          <w:rFonts w:hint="eastAsia" w:asciiTheme="majorEastAsia" w:hAnsiTheme="majorEastAsia" w:eastAsiaTheme="majorEastAsia"/>
          <w:sz w:val="24"/>
          <w:lang w:val="en-US" w:eastAsia="zh-CN"/>
        </w:rPr>
        <w:t>23</w:t>
      </w:r>
      <w:r>
        <w:rPr>
          <w:rFonts w:hint="eastAsia" w:asciiTheme="majorEastAsia" w:hAnsiTheme="majorEastAsia" w:eastAsiaTheme="majorEastAsia"/>
          <w:sz w:val="24"/>
          <w:lang w:eastAsia="zh-CN"/>
        </w:rPr>
        <w:t>日</w:t>
      </w:r>
      <w:r>
        <w:rPr>
          <w:rFonts w:hint="eastAsia" w:asciiTheme="majorEastAsia" w:hAnsiTheme="majorEastAsia" w:eastAsiaTheme="majorEastAsia"/>
          <w:color w:val="000000"/>
          <w:sz w:val="24"/>
        </w:rPr>
        <w:t>。</w:t>
      </w:r>
    </w:p>
    <w:p>
      <w:pPr>
        <w:spacing w:line="360" w:lineRule="auto"/>
        <w:ind w:firstLine="480" w:firstLineChars="200"/>
        <w:rPr>
          <w:rFonts w:asciiTheme="majorEastAsia" w:hAnsiTheme="majorEastAsia" w:eastAsiaTheme="majorEastAsia"/>
          <w:color w:val="000000"/>
          <w:sz w:val="24"/>
        </w:rPr>
      </w:pPr>
      <w:r>
        <w:rPr>
          <w:rFonts w:hint="eastAsia" w:asciiTheme="majorEastAsia" w:hAnsiTheme="majorEastAsia" w:eastAsiaTheme="majorEastAsia"/>
          <w:color w:val="000000"/>
          <w:sz w:val="24"/>
        </w:rPr>
        <w:t>（二）按照评估基准日尽可能与资产评估对应的经济行为实现日接近的原则，由委托人确定评估基准日。</w:t>
      </w:r>
    </w:p>
    <w:p>
      <w:pPr>
        <w:spacing w:line="360" w:lineRule="auto"/>
        <w:ind w:firstLine="480" w:firstLineChars="200"/>
        <w:rPr>
          <w:rFonts w:asciiTheme="majorEastAsia" w:hAnsiTheme="majorEastAsia" w:eastAsiaTheme="majorEastAsia"/>
          <w:color w:val="000000"/>
          <w:sz w:val="24"/>
        </w:rPr>
      </w:pPr>
      <w:r>
        <w:rPr>
          <w:rFonts w:hint="eastAsia" w:asciiTheme="majorEastAsia" w:hAnsiTheme="majorEastAsia" w:eastAsiaTheme="majorEastAsia"/>
          <w:color w:val="000000"/>
          <w:sz w:val="24"/>
        </w:rPr>
        <w:t>（三）本次资产评估的工作中，评估范围的界定、评估参数的选取、评估价值的确定等，均以评估基准日的外部经济环境以及市场情况确定。</w:t>
      </w:r>
    </w:p>
    <w:p>
      <w:pPr>
        <w:spacing w:line="4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color w:val="000000"/>
          <w:sz w:val="24"/>
        </w:rPr>
        <w:t>本报告书中一切取价标准均为评估基准日有效的价格标准。</w:t>
      </w:r>
    </w:p>
    <w:p>
      <w:pPr>
        <w:spacing w:line="460" w:lineRule="exact"/>
        <w:ind w:firstLine="482" w:firstLineChars="200"/>
        <w:jc w:val="left"/>
        <w:rPr>
          <w:rFonts w:asciiTheme="majorEastAsia" w:hAnsiTheme="majorEastAsia" w:eastAsiaTheme="majorEastAsia"/>
          <w:sz w:val="24"/>
        </w:rPr>
      </w:pPr>
      <w:r>
        <w:rPr>
          <w:rFonts w:hint="eastAsia" w:asciiTheme="majorEastAsia" w:hAnsiTheme="majorEastAsia" w:eastAsiaTheme="majorEastAsia"/>
          <w:b/>
          <w:sz w:val="24"/>
        </w:rPr>
        <w:t>六、评估依据</w:t>
      </w:r>
    </w:p>
    <w:p>
      <w:pPr>
        <w:tabs>
          <w:tab w:val="left" w:pos="8080"/>
        </w:tabs>
        <w:spacing w:line="360" w:lineRule="auto"/>
        <w:ind w:firstLine="360" w:firstLineChars="150"/>
        <w:textAlignment w:val="top"/>
        <w:rPr>
          <w:rFonts w:asciiTheme="majorEastAsia" w:hAnsiTheme="majorEastAsia" w:eastAsiaTheme="majorEastAsia"/>
          <w:bCs/>
          <w:sz w:val="24"/>
        </w:rPr>
      </w:pPr>
      <w:r>
        <w:rPr>
          <w:rFonts w:hint="eastAsia" w:asciiTheme="majorEastAsia" w:hAnsiTheme="majorEastAsia" w:eastAsiaTheme="majorEastAsia"/>
          <w:sz w:val="24"/>
        </w:rPr>
        <w:t>（一）行为依据</w:t>
      </w:r>
    </w:p>
    <w:p>
      <w:pPr>
        <w:snapToGrid w:val="0"/>
        <w:spacing w:line="360" w:lineRule="auto"/>
        <w:ind w:firstLine="480" w:firstLineChars="200"/>
        <w:textAlignment w:val="top"/>
        <w:rPr>
          <w:rFonts w:hint="eastAsia" w:asciiTheme="majorEastAsia" w:hAnsiTheme="majorEastAsia" w:eastAsiaTheme="majorEastAsia"/>
          <w:sz w:val="24"/>
          <w:lang w:eastAsia="zh-CN"/>
        </w:rPr>
      </w:pPr>
      <w:r>
        <w:rPr>
          <w:rFonts w:asciiTheme="majorEastAsia" w:hAnsiTheme="majorEastAsia" w:eastAsiaTheme="majorEastAsia"/>
          <w:sz w:val="24"/>
        </w:rPr>
        <w:t>1.</w:t>
      </w:r>
      <w:r>
        <w:rPr>
          <w:rFonts w:hint="eastAsia" w:asciiTheme="majorEastAsia" w:hAnsiTheme="majorEastAsia" w:eastAsiaTheme="majorEastAsia"/>
          <w:sz w:val="24"/>
          <w:lang w:eastAsia="zh-CN"/>
        </w:rPr>
        <w:t>辽源市龙山区人民法院</w:t>
      </w:r>
      <w:r>
        <w:rPr>
          <w:rFonts w:hint="eastAsia" w:asciiTheme="majorEastAsia" w:hAnsiTheme="majorEastAsia" w:eastAsiaTheme="majorEastAsia"/>
          <w:sz w:val="24"/>
        </w:rPr>
        <w:t>司法辅助办公室</w:t>
      </w:r>
      <w:r>
        <w:rPr>
          <w:rFonts w:hint="eastAsia" w:asciiTheme="majorEastAsia" w:hAnsiTheme="majorEastAsia" w:eastAsiaTheme="majorEastAsia"/>
          <w:sz w:val="24"/>
          <w:lang w:eastAsia="zh-CN"/>
        </w:rPr>
        <w:t>《司法鉴定委托书》（案号（202</w:t>
      </w:r>
      <w:r>
        <w:rPr>
          <w:rFonts w:hint="eastAsia" w:asciiTheme="majorEastAsia" w:hAnsiTheme="majorEastAsia" w:eastAsiaTheme="majorEastAsia"/>
          <w:sz w:val="24"/>
          <w:lang w:val="en-US" w:eastAsia="zh-CN"/>
        </w:rPr>
        <w:t>2</w:t>
      </w:r>
      <w:r>
        <w:rPr>
          <w:rFonts w:hint="eastAsia" w:asciiTheme="majorEastAsia" w:hAnsiTheme="majorEastAsia" w:eastAsiaTheme="majorEastAsia"/>
          <w:sz w:val="24"/>
          <w:lang w:eastAsia="zh-CN"/>
        </w:rPr>
        <w:t>）吉0402委评</w:t>
      </w:r>
      <w:r>
        <w:rPr>
          <w:rFonts w:hint="eastAsia" w:asciiTheme="majorEastAsia" w:hAnsiTheme="majorEastAsia" w:eastAsiaTheme="majorEastAsia"/>
          <w:sz w:val="24"/>
          <w:lang w:val="en-US" w:eastAsia="zh-CN"/>
        </w:rPr>
        <w:t>16</w:t>
      </w:r>
      <w:r>
        <w:rPr>
          <w:rFonts w:hint="eastAsia" w:asciiTheme="majorEastAsia" w:hAnsiTheme="majorEastAsia" w:eastAsiaTheme="majorEastAsia"/>
          <w:sz w:val="24"/>
          <w:lang w:eastAsia="zh-CN"/>
        </w:rPr>
        <w:t>号）；</w:t>
      </w:r>
    </w:p>
    <w:p>
      <w:pPr>
        <w:snapToGrid w:val="0"/>
        <w:spacing w:line="360" w:lineRule="auto"/>
        <w:ind w:firstLine="480" w:firstLineChars="200"/>
        <w:textAlignment w:val="top"/>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2.辽源市龙山区人民法院对外委托案件移送表。</w:t>
      </w:r>
    </w:p>
    <w:p>
      <w:pPr>
        <w:snapToGrid w:val="0"/>
        <w:spacing w:line="360" w:lineRule="auto"/>
        <w:ind w:firstLine="480" w:firstLineChars="200"/>
        <w:textAlignment w:val="top"/>
        <w:rPr>
          <w:rFonts w:asciiTheme="majorEastAsia" w:hAnsiTheme="majorEastAsia" w:eastAsiaTheme="majorEastAsia"/>
          <w:sz w:val="24"/>
        </w:rPr>
      </w:pPr>
      <w:r>
        <w:rPr>
          <w:rFonts w:hint="eastAsia" w:asciiTheme="majorEastAsia" w:hAnsiTheme="majorEastAsia" w:eastAsiaTheme="majorEastAsia"/>
          <w:sz w:val="24"/>
        </w:rPr>
        <w:t>（二）法律、法规等依据</w:t>
      </w:r>
    </w:p>
    <w:p>
      <w:pPr>
        <w:snapToGrid w:val="0"/>
        <w:spacing w:line="360" w:lineRule="auto"/>
        <w:ind w:firstLine="480" w:firstLineChars="200"/>
        <w:textAlignment w:val="top"/>
        <w:rPr>
          <w:rFonts w:asciiTheme="majorEastAsia" w:hAnsiTheme="majorEastAsia" w:eastAsiaTheme="majorEastAsia"/>
          <w:sz w:val="24"/>
        </w:rPr>
      </w:pPr>
      <w:r>
        <w:rPr>
          <w:rFonts w:asciiTheme="majorEastAsia" w:hAnsiTheme="majorEastAsia" w:eastAsiaTheme="majorEastAsia"/>
          <w:sz w:val="24"/>
        </w:rPr>
        <w:t>1.</w:t>
      </w:r>
      <w:r>
        <w:rPr>
          <w:rFonts w:hint="eastAsia" w:asciiTheme="majorEastAsia" w:hAnsiTheme="majorEastAsia" w:eastAsiaTheme="majorEastAsia"/>
          <w:sz w:val="24"/>
        </w:rPr>
        <w:t>《中华人民共和国民法典》（2021年1月1日起实施）；</w:t>
      </w:r>
    </w:p>
    <w:p>
      <w:pPr>
        <w:snapToGrid w:val="0"/>
        <w:spacing w:line="360" w:lineRule="auto"/>
        <w:ind w:firstLine="480" w:firstLineChars="200"/>
        <w:textAlignment w:val="top"/>
        <w:rPr>
          <w:rFonts w:asciiTheme="majorEastAsia" w:hAnsiTheme="majorEastAsia" w:eastAsiaTheme="majorEastAsia"/>
          <w:sz w:val="24"/>
        </w:rPr>
      </w:pPr>
      <w:r>
        <w:rPr>
          <w:rFonts w:hint="eastAsia" w:asciiTheme="majorEastAsia" w:hAnsiTheme="majorEastAsia" w:eastAsiaTheme="majorEastAsia"/>
          <w:sz w:val="24"/>
        </w:rPr>
        <w:t>2.《中华人民共和国资产评估法》</w:t>
      </w:r>
      <w:r>
        <w:rPr>
          <w:rFonts w:hint="eastAsia" w:asciiTheme="majorEastAsia" w:hAnsiTheme="majorEastAsia" w:eastAsiaTheme="majorEastAsia"/>
          <w:sz w:val="24"/>
          <w:lang w:val="zh-CN"/>
        </w:rPr>
        <w:t>（</w:t>
      </w:r>
      <w:r>
        <w:rPr>
          <w:rFonts w:asciiTheme="majorEastAsia" w:hAnsiTheme="majorEastAsia" w:eastAsiaTheme="majorEastAsia"/>
          <w:sz w:val="24"/>
          <w:lang w:val="zh-CN"/>
        </w:rPr>
        <w:t>2016</w:t>
      </w:r>
      <w:r>
        <w:rPr>
          <w:rFonts w:hint="eastAsia" w:asciiTheme="majorEastAsia" w:hAnsiTheme="majorEastAsia" w:eastAsiaTheme="majorEastAsia"/>
          <w:sz w:val="24"/>
          <w:lang w:val="zh-CN"/>
        </w:rPr>
        <w:t>年</w:t>
      </w:r>
      <w:r>
        <w:rPr>
          <w:rFonts w:asciiTheme="majorEastAsia" w:hAnsiTheme="majorEastAsia" w:eastAsiaTheme="majorEastAsia"/>
          <w:sz w:val="24"/>
          <w:lang w:val="zh-CN"/>
        </w:rPr>
        <w:t>7</w:t>
      </w:r>
      <w:r>
        <w:rPr>
          <w:rFonts w:hint="eastAsia" w:asciiTheme="majorEastAsia" w:hAnsiTheme="majorEastAsia" w:eastAsiaTheme="majorEastAsia"/>
          <w:sz w:val="24"/>
          <w:lang w:val="zh-CN"/>
        </w:rPr>
        <w:t>月</w:t>
      </w:r>
      <w:r>
        <w:rPr>
          <w:rFonts w:asciiTheme="majorEastAsia" w:hAnsiTheme="majorEastAsia" w:eastAsiaTheme="majorEastAsia"/>
          <w:sz w:val="24"/>
          <w:lang w:val="zh-CN"/>
        </w:rPr>
        <w:t>2</w:t>
      </w:r>
      <w:r>
        <w:rPr>
          <w:rFonts w:hint="eastAsia" w:asciiTheme="majorEastAsia" w:hAnsiTheme="majorEastAsia" w:eastAsiaTheme="majorEastAsia"/>
          <w:sz w:val="24"/>
          <w:lang w:val="zh-CN"/>
        </w:rPr>
        <w:t>日中华人民共和国主席令第46号）</w:t>
      </w:r>
      <w:r>
        <w:rPr>
          <w:rFonts w:hint="eastAsia" w:asciiTheme="majorEastAsia" w:hAnsiTheme="majorEastAsia" w:eastAsiaTheme="majorEastAsia"/>
          <w:sz w:val="24"/>
        </w:rPr>
        <w:t>；</w:t>
      </w:r>
    </w:p>
    <w:p>
      <w:pPr>
        <w:pStyle w:val="4"/>
        <w:tabs>
          <w:tab w:val="left" w:pos="0"/>
        </w:tabs>
        <w:snapToGrid w:val="0"/>
        <w:ind w:firstLine="480" w:firstLineChars="200"/>
        <w:rPr>
          <w:rFonts w:hint="eastAsia" w:cs="Arial" w:asciiTheme="majorEastAsia" w:hAnsiTheme="majorEastAsia" w:eastAsiaTheme="majorEastAsia"/>
          <w:lang w:eastAsia="zh-CN"/>
        </w:rPr>
      </w:pPr>
      <w:r>
        <w:rPr>
          <w:rFonts w:hint="eastAsia" w:asciiTheme="majorEastAsia" w:hAnsiTheme="majorEastAsia" w:eastAsiaTheme="majorEastAsia"/>
        </w:rPr>
        <w:t>3</w:t>
      </w:r>
      <w:r>
        <w:rPr>
          <w:rFonts w:asciiTheme="majorEastAsia" w:hAnsiTheme="majorEastAsia" w:eastAsiaTheme="majorEastAsia"/>
        </w:rPr>
        <w:t>.</w:t>
      </w:r>
      <w:r>
        <w:rPr>
          <w:rFonts w:hint="eastAsia" w:asciiTheme="majorEastAsia" w:hAnsiTheme="majorEastAsia" w:eastAsiaTheme="majorEastAsia"/>
        </w:rPr>
        <w:t>《中华人民共和国城市房地产管理法》(中华人民共和国主席令第72号，2019年8月26日修正版)</w:t>
      </w:r>
      <w:r>
        <w:rPr>
          <w:rFonts w:hint="eastAsia" w:asciiTheme="majorEastAsia" w:hAnsiTheme="majorEastAsia" w:eastAsiaTheme="majorEastAsia"/>
          <w:lang w:eastAsia="zh-CN"/>
        </w:rPr>
        <w:t>；</w:t>
      </w:r>
    </w:p>
    <w:p>
      <w:pPr>
        <w:pStyle w:val="4"/>
        <w:tabs>
          <w:tab w:val="left" w:pos="0"/>
          <w:tab w:val="left" w:pos="504"/>
        </w:tabs>
        <w:snapToGrid w:val="0"/>
        <w:ind w:firstLine="480" w:firstLineChars="200"/>
        <w:rPr>
          <w:rFonts w:cs="Arial" w:asciiTheme="majorEastAsia" w:hAnsiTheme="majorEastAsia" w:eastAsiaTheme="majorEastAsia"/>
        </w:rPr>
      </w:pPr>
      <w:r>
        <w:rPr>
          <w:rFonts w:hint="eastAsia" w:cs="Arial" w:asciiTheme="majorEastAsia" w:hAnsiTheme="majorEastAsia" w:eastAsiaTheme="majorEastAsia"/>
        </w:rPr>
        <w:t>4</w:t>
      </w:r>
      <w:r>
        <w:rPr>
          <w:rFonts w:cs="Arial" w:asciiTheme="majorEastAsia" w:hAnsiTheme="majorEastAsia" w:eastAsiaTheme="majorEastAsia"/>
        </w:rPr>
        <w:t>.</w:t>
      </w:r>
      <w:r>
        <w:rPr>
          <w:rFonts w:hint="eastAsia" w:cs="Arial" w:asciiTheme="majorEastAsia" w:hAnsiTheme="majorEastAsia" w:eastAsiaTheme="majorEastAsia"/>
        </w:rPr>
        <w:t>《全国人民代表大会常务委员会关于司法鉴定管理问题的决定》（根据2015年4月24日第十二届全国人民代表大会常务委员会第十四次会议《关于修改&lt;中华人民共和国义务教育法&gt;等五部法律的决定》修正）；</w:t>
      </w:r>
    </w:p>
    <w:p>
      <w:pPr>
        <w:pStyle w:val="5"/>
        <w:spacing w:line="360" w:lineRule="auto"/>
        <w:ind w:firstLine="480" w:firstLineChars="200"/>
        <w:rPr>
          <w:rFonts w:asciiTheme="majorEastAsia" w:hAnsiTheme="majorEastAsia" w:eastAsiaTheme="majorEastAsia"/>
          <w:sz w:val="24"/>
          <w:szCs w:val="24"/>
        </w:rPr>
      </w:pPr>
      <w:r>
        <w:rPr>
          <w:rFonts w:hint="eastAsia" w:cs="Arial" w:asciiTheme="majorEastAsia" w:hAnsiTheme="majorEastAsia" w:eastAsiaTheme="majorEastAsia"/>
          <w:sz w:val="24"/>
          <w:szCs w:val="24"/>
        </w:rPr>
        <w:t>5</w:t>
      </w:r>
      <w:r>
        <w:rPr>
          <w:rFonts w:cs="Arial" w:asciiTheme="majorEastAsia" w:hAnsiTheme="majorEastAsia" w:eastAsiaTheme="majorEastAsia"/>
          <w:sz w:val="24"/>
          <w:szCs w:val="24"/>
        </w:rPr>
        <w:t>.</w:t>
      </w:r>
      <w:r>
        <w:rPr>
          <w:rFonts w:hint="eastAsia" w:cs="Arial" w:asciiTheme="majorEastAsia" w:hAnsiTheme="majorEastAsia" w:eastAsiaTheme="majorEastAsia"/>
          <w:sz w:val="24"/>
          <w:szCs w:val="24"/>
        </w:rPr>
        <w:t>《最高人民法院对外委托鉴定、评估、拍卖等工作管理规定</w:t>
      </w:r>
      <w:r>
        <w:rPr>
          <w:rFonts w:hint="eastAsia" w:asciiTheme="majorEastAsia" w:hAnsiTheme="majorEastAsia" w:eastAsiaTheme="majorEastAsia"/>
          <w:sz w:val="24"/>
          <w:szCs w:val="24"/>
        </w:rPr>
        <w:t>》（法办发</w:t>
      </w:r>
      <w:r>
        <w:rPr>
          <w:rFonts w:hint="eastAsia" w:cs="Arial" w:asciiTheme="majorEastAsia" w:hAnsiTheme="majorEastAsia" w:eastAsiaTheme="majorEastAsia"/>
          <w:sz w:val="24"/>
          <w:szCs w:val="24"/>
        </w:rPr>
        <w:t>〔</w:t>
      </w:r>
      <w:r>
        <w:rPr>
          <w:rFonts w:cs="Arial" w:asciiTheme="majorEastAsia" w:hAnsiTheme="majorEastAsia" w:eastAsiaTheme="majorEastAsia"/>
          <w:sz w:val="24"/>
          <w:szCs w:val="24"/>
        </w:rPr>
        <w:t>200</w:t>
      </w:r>
      <w:r>
        <w:rPr>
          <w:rFonts w:hint="eastAsia" w:cs="Arial" w:asciiTheme="majorEastAsia" w:hAnsiTheme="majorEastAsia" w:eastAsiaTheme="majorEastAsia"/>
          <w:sz w:val="24"/>
          <w:szCs w:val="24"/>
        </w:rPr>
        <w:t>7〕5号</w:t>
      </w:r>
      <w:r>
        <w:rPr>
          <w:rFonts w:hint="eastAsia" w:asciiTheme="majorEastAsia" w:hAnsiTheme="majorEastAsia" w:eastAsiaTheme="majorEastAsia"/>
          <w:sz w:val="24"/>
          <w:szCs w:val="24"/>
        </w:rPr>
        <w:t>；</w:t>
      </w:r>
    </w:p>
    <w:p>
      <w:pPr>
        <w:pStyle w:val="5"/>
        <w:spacing w:line="360" w:lineRule="auto"/>
        <w:ind w:firstLine="480" w:firstLineChars="200"/>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6</w:t>
      </w:r>
      <w:r>
        <w:rPr>
          <w:rFonts w:cs="Arial" w:asciiTheme="majorEastAsia" w:hAnsiTheme="majorEastAsia" w:eastAsiaTheme="majorEastAsia"/>
          <w:sz w:val="24"/>
          <w:szCs w:val="24"/>
        </w:rPr>
        <w:t>.</w:t>
      </w:r>
      <w:r>
        <w:rPr>
          <w:rFonts w:hint="eastAsia" w:cs="Arial" w:asciiTheme="majorEastAsia" w:hAnsiTheme="majorEastAsia" w:eastAsiaTheme="majorEastAsia"/>
          <w:sz w:val="24"/>
          <w:szCs w:val="24"/>
        </w:rPr>
        <w:t>最高人民法院关于人民法院确定财产处置参考价若干问题的规定</w:t>
      </w:r>
      <w:r>
        <w:rPr>
          <w:rFonts w:cs="Arial" w:asciiTheme="majorEastAsia" w:hAnsiTheme="majorEastAsia" w:eastAsiaTheme="majorEastAsia"/>
          <w:sz w:val="24"/>
          <w:szCs w:val="24"/>
        </w:rPr>
        <w:t>(</w:t>
      </w:r>
      <w:r>
        <w:rPr>
          <w:rFonts w:hint="eastAsia" w:cs="Arial" w:asciiTheme="majorEastAsia" w:hAnsiTheme="majorEastAsia" w:eastAsiaTheme="majorEastAsia"/>
          <w:sz w:val="24"/>
          <w:szCs w:val="24"/>
        </w:rPr>
        <w:t>法释〔</w:t>
      </w:r>
      <w:r>
        <w:rPr>
          <w:rFonts w:cs="Arial" w:asciiTheme="majorEastAsia" w:hAnsiTheme="majorEastAsia" w:eastAsiaTheme="majorEastAsia"/>
          <w:sz w:val="24"/>
          <w:szCs w:val="24"/>
        </w:rPr>
        <w:t>2018</w:t>
      </w:r>
      <w:r>
        <w:rPr>
          <w:rFonts w:hint="eastAsia" w:cs="Arial" w:asciiTheme="majorEastAsia" w:hAnsiTheme="majorEastAsia" w:eastAsiaTheme="majorEastAsia"/>
          <w:sz w:val="24"/>
          <w:szCs w:val="24"/>
        </w:rPr>
        <w:t>〕</w:t>
      </w:r>
      <w:r>
        <w:rPr>
          <w:rFonts w:cs="Arial" w:asciiTheme="majorEastAsia" w:hAnsiTheme="majorEastAsia" w:eastAsiaTheme="majorEastAsia"/>
          <w:sz w:val="24"/>
          <w:szCs w:val="24"/>
        </w:rPr>
        <w:t>15</w:t>
      </w:r>
      <w:r>
        <w:rPr>
          <w:rFonts w:hint="eastAsia" w:cs="Arial" w:asciiTheme="majorEastAsia" w:hAnsiTheme="majorEastAsia" w:eastAsiaTheme="majorEastAsia"/>
          <w:sz w:val="24"/>
          <w:szCs w:val="24"/>
        </w:rPr>
        <w:t>号</w:t>
      </w:r>
      <w:r>
        <w:rPr>
          <w:rFonts w:cs="Arial" w:asciiTheme="majorEastAsia" w:hAnsiTheme="majorEastAsia" w:eastAsiaTheme="majorEastAsia"/>
          <w:sz w:val="24"/>
          <w:szCs w:val="24"/>
        </w:rPr>
        <w:t>)</w:t>
      </w:r>
      <w:r>
        <w:rPr>
          <w:rFonts w:hint="eastAsia" w:cs="Arial" w:asciiTheme="majorEastAsia" w:hAnsiTheme="majorEastAsia" w:eastAsiaTheme="majorEastAsia"/>
          <w:sz w:val="24"/>
          <w:szCs w:val="24"/>
        </w:rPr>
        <w:t>；</w:t>
      </w:r>
    </w:p>
    <w:p>
      <w:pPr>
        <w:pStyle w:val="5"/>
        <w:spacing w:line="360" w:lineRule="auto"/>
        <w:ind w:firstLine="480" w:firstLineChars="200"/>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7</w:t>
      </w:r>
      <w:r>
        <w:rPr>
          <w:rFonts w:cs="Arial" w:asciiTheme="majorEastAsia" w:hAnsiTheme="majorEastAsia" w:eastAsiaTheme="majorEastAsia"/>
          <w:sz w:val="24"/>
          <w:szCs w:val="24"/>
        </w:rPr>
        <w:t>.</w:t>
      </w:r>
      <w:r>
        <w:rPr>
          <w:rFonts w:hint="eastAsia" w:cs="Arial" w:asciiTheme="majorEastAsia" w:hAnsiTheme="majorEastAsia" w:eastAsiaTheme="majorEastAsia"/>
          <w:sz w:val="24"/>
          <w:szCs w:val="24"/>
        </w:rPr>
        <w:t>《人民法院委托评估工作规范》</w:t>
      </w:r>
      <w:r>
        <w:rPr>
          <w:rFonts w:cs="Arial" w:asciiTheme="majorEastAsia" w:hAnsiTheme="majorEastAsia" w:eastAsiaTheme="majorEastAsia"/>
          <w:sz w:val="24"/>
          <w:szCs w:val="24"/>
        </w:rPr>
        <w:t>(</w:t>
      </w:r>
      <w:r>
        <w:rPr>
          <w:rFonts w:hint="eastAsia" w:cs="Arial" w:asciiTheme="majorEastAsia" w:hAnsiTheme="majorEastAsia" w:eastAsiaTheme="majorEastAsia"/>
          <w:sz w:val="24"/>
          <w:szCs w:val="24"/>
        </w:rPr>
        <w:t>法办〔</w:t>
      </w:r>
      <w:r>
        <w:rPr>
          <w:rFonts w:cs="Arial" w:asciiTheme="majorEastAsia" w:hAnsiTheme="majorEastAsia" w:eastAsiaTheme="majorEastAsia"/>
          <w:sz w:val="24"/>
          <w:szCs w:val="24"/>
        </w:rPr>
        <w:t>2018</w:t>
      </w:r>
      <w:r>
        <w:rPr>
          <w:rFonts w:hint="eastAsia" w:cs="Arial" w:asciiTheme="majorEastAsia" w:hAnsiTheme="majorEastAsia" w:eastAsiaTheme="majorEastAsia"/>
          <w:sz w:val="24"/>
          <w:szCs w:val="24"/>
        </w:rPr>
        <w:t>〕</w:t>
      </w:r>
      <w:r>
        <w:rPr>
          <w:rFonts w:cs="Arial" w:asciiTheme="majorEastAsia" w:hAnsiTheme="majorEastAsia" w:eastAsiaTheme="majorEastAsia"/>
          <w:sz w:val="24"/>
          <w:szCs w:val="24"/>
        </w:rPr>
        <w:t>273</w:t>
      </w:r>
      <w:r>
        <w:rPr>
          <w:rFonts w:hint="eastAsia" w:cs="Arial" w:asciiTheme="majorEastAsia" w:hAnsiTheme="majorEastAsia" w:eastAsiaTheme="majorEastAsia"/>
          <w:sz w:val="24"/>
          <w:szCs w:val="24"/>
        </w:rPr>
        <w:t>号</w:t>
      </w:r>
      <w:r>
        <w:rPr>
          <w:rFonts w:cs="Arial" w:asciiTheme="majorEastAsia" w:hAnsiTheme="majorEastAsia" w:eastAsiaTheme="majorEastAsia"/>
          <w:sz w:val="24"/>
          <w:szCs w:val="24"/>
        </w:rPr>
        <w:t>)</w:t>
      </w:r>
      <w:r>
        <w:rPr>
          <w:rFonts w:hint="eastAsia" w:cs="Arial" w:asciiTheme="majorEastAsia" w:hAnsiTheme="majorEastAsia" w:eastAsiaTheme="majorEastAsia"/>
          <w:sz w:val="24"/>
          <w:szCs w:val="24"/>
        </w:rPr>
        <w:t>。</w:t>
      </w:r>
    </w:p>
    <w:p>
      <w:pPr>
        <w:pStyle w:val="2"/>
        <w:adjustRightInd/>
        <w:spacing w:before="0" w:after="0" w:line="360" w:lineRule="auto"/>
        <w:ind w:firstLineChars="175"/>
        <w:rPr>
          <w:rFonts w:asciiTheme="majorEastAsia" w:hAnsiTheme="majorEastAsia" w:eastAsiaTheme="majorEastAsia"/>
          <w:szCs w:val="24"/>
        </w:rPr>
      </w:pPr>
      <w:r>
        <w:rPr>
          <w:rFonts w:hint="eastAsia" w:asciiTheme="majorEastAsia" w:hAnsiTheme="majorEastAsia" w:eastAsiaTheme="majorEastAsia"/>
          <w:szCs w:val="24"/>
        </w:rPr>
        <w:t>（三）</w:t>
      </w:r>
      <w:bookmarkStart w:id="10" w:name="_Toc213846102"/>
      <w:r>
        <w:rPr>
          <w:rFonts w:hint="eastAsia" w:asciiTheme="majorEastAsia" w:hAnsiTheme="majorEastAsia" w:eastAsiaTheme="majorEastAsia"/>
          <w:szCs w:val="24"/>
        </w:rPr>
        <w:t>准则依据</w:t>
      </w:r>
      <w:bookmarkEnd w:id="10"/>
    </w:p>
    <w:p>
      <w:pPr>
        <w:snapToGrid w:val="0"/>
        <w:spacing w:line="360" w:lineRule="auto"/>
        <w:ind w:firstLine="480" w:firstLineChars="200"/>
        <w:textAlignment w:val="top"/>
        <w:rPr>
          <w:rFonts w:asciiTheme="majorEastAsia" w:hAnsiTheme="majorEastAsia" w:eastAsiaTheme="majorEastAsia"/>
          <w:sz w:val="24"/>
        </w:rPr>
      </w:pPr>
      <w:r>
        <w:rPr>
          <w:rFonts w:asciiTheme="majorEastAsia" w:hAnsiTheme="majorEastAsia" w:eastAsiaTheme="majorEastAsia"/>
          <w:sz w:val="24"/>
        </w:rPr>
        <w:t>1.</w:t>
      </w:r>
      <w:r>
        <w:rPr>
          <w:rFonts w:hint="eastAsia" w:asciiTheme="majorEastAsia" w:hAnsiTheme="majorEastAsia" w:eastAsiaTheme="majorEastAsia"/>
          <w:sz w:val="24"/>
        </w:rPr>
        <w:t>《资产评估基本准则》（财资〔2017〕43号，2017年10月1日起实施）；</w:t>
      </w:r>
    </w:p>
    <w:p>
      <w:pPr>
        <w:snapToGrid w:val="0"/>
        <w:spacing w:line="360" w:lineRule="auto"/>
        <w:ind w:firstLine="480" w:firstLineChars="200"/>
        <w:textAlignment w:val="top"/>
        <w:rPr>
          <w:rFonts w:asciiTheme="majorEastAsia" w:hAnsiTheme="majorEastAsia" w:eastAsiaTheme="majorEastAsia"/>
          <w:sz w:val="24"/>
        </w:rPr>
      </w:pPr>
      <w:r>
        <w:rPr>
          <w:rFonts w:asciiTheme="majorEastAsia" w:hAnsiTheme="majorEastAsia" w:eastAsiaTheme="majorEastAsia"/>
          <w:sz w:val="24"/>
        </w:rPr>
        <w:t>2.</w:t>
      </w:r>
      <w:r>
        <w:rPr>
          <w:rFonts w:hint="eastAsia" w:asciiTheme="majorEastAsia" w:hAnsiTheme="majorEastAsia" w:eastAsiaTheme="majorEastAsia"/>
          <w:sz w:val="24"/>
        </w:rPr>
        <w:t>《资产评估职业道德准则》（中评协[2017]30号，2017年10月1日起实施）；</w:t>
      </w:r>
    </w:p>
    <w:p>
      <w:pPr>
        <w:snapToGrid w:val="0"/>
        <w:spacing w:line="360" w:lineRule="auto"/>
        <w:ind w:firstLine="480" w:firstLineChars="200"/>
        <w:textAlignment w:val="top"/>
        <w:rPr>
          <w:rFonts w:asciiTheme="majorEastAsia" w:hAnsiTheme="majorEastAsia" w:eastAsiaTheme="majorEastAsia"/>
          <w:sz w:val="24"/>
        </w:rPr>
      </w:pPr>
      <w:r>
        <w:rPr>
          <w:rFonts w:asciiTheme="majorEastAsia" w:hAnsiTheme="majorEastAsia" w:eastAsiaTheme="majorEastAsia"/>
          <w:sz w:val="24"/>
        </w:rPr>
        <w:t>3.</w:t>
      </w:r>
      <w:r>
        <w:rPr>
          <w:rFonts w:hint="eastAsia" w:asciiTheme="majorEastAsia" w:hAnsiTheme="majorEastAsia" w:eastAsiaTheme="majorEastAsia"/>
          <w:sz w:val="24"/>
        </w:rPr>
        <w:t>《资产评估执业准则——资产评估程序》（中评协[2018]36号，2019年1月1日起实施）；</w:t>
      </w:r>
    </w:p>
    <w:p>
      <w:pPr>
        <w:snapToGrid w:val="0"/>
        <w:spacing w:line="360" w:lineRule="auto"/>
        <w:ind w:firstLine="480" w:firstLineChars="200"/>
        <w:textAlignment w:val="top"/>
        <w:rPr>
          <w:rFonts w:asciiTheme="majorEastAsia" w:hAnsiTheme="majorEastAsia" w:eastAsiaTheme="majorEastAsia"/>
          <w:sz w:val="24"/>
        </w:rPr>
      </w:pPr>
      <w:r>
        <w:rPr>
          <w:rFonts w:hint="eastAsia" w:asciiTheme="majorEastAsia" w:hAnsiTheme="majorEastAsia" w:eastAsiaTheme="majorEastAsia"/>
          <w:sz w:val="24"/>
        </w:rPr>
        <w:t>4</w:t>
      </w:r>
      <w:r>
        <w:rPr>
          <w:rFonts w:asciiTheme="majorEastAsia" w:hAnsiTheme="majorEastAsia" w:eastAsiaTheme="majorEastAsia"/>
          <w:sz w:val="24"/>
        </w:rPr>
        <w:t>.</w:t>
      </w:r>
      <w:r>
        <w:rPr>
          <w:rFonts w:hint="eastAsia" w:asciiTheme="majorEastAsia" w:hAnsiTheme="majorEastAsia" w:eastAsiaTheme="majorEastAsia"/>
          <w:sz w:val="24"/>
        </w:rPr>
        <w:t>《资产评估执业准则——资产评估报告》（中评协[2018]35号，2019年1月1日起实施）；</w:t>
      </w:r>
    </w:p>
    <w:p>
      <w:pPr>
        <w:snapToGrid w:val="0"/>
        <w:spacing w:line="360" w:lineRule="auto"/>
        <w:ind w:firstLine="480" w:firstLineChars="200"/>
        <w:textAlignment w:val="top"/>
        <w:rPr>
          <w:rFonts w:asciiTheme="majorEastAsia" w:hAnsiTheme="majorEastAsia" w:eastAsiaTheme="majorEastAsia"/>
          <w:sz w:val="24"/>
        </w:rPr>
      </w:pPr>
      <w:r>
        <w:rPr>
          <w:rFonts w:hint="eastAsia" w:asciiTheme="majorEastAsia" w:hAnsiTheme="majorEastAsia" w:eastAsiaTheme="majorEastAsia"/>
          <w:sz w:val="24"/>
        </w:rPr>
        <w:t>5</w:t>
      </w:r>
      <w:r>
        <w:rPr>
          <w:rFonts w:asciiTheme="majorEastAsia" w:hAnsiTheme="majorEastAsia" w:eastAsiaTheme="majorEastAsia"/>
          <w:sz w:val="24"/>
        </w:rPr>
        <w:t>.</w:t>
      </w:r>
      <w:r>
        <w:rPr>
          <w:rFonts w:hint="eastAsia" w:asciiTheme="majorEastAsia" w:hAnsiTheme="majorEastAsia" w:eastAsiaTheme="majorEastAsia"/>
          <w:sz w:val="24"/>
        </w:rPr>
        <w:t>《资产评估执业准则——资产评估委托合同》（中评协[2017]33号，2017年10月1日起实施）；</w:t>
      </w:r>
    </w:p>
    <w:p>
      <w:pPr>
        <w:snapToGrid w:val="0"/>
        <w:spacing w:line="360" w:lineRule="auto"/>
        <w:ind w:firstLine="480" w:firstLineChars="200"/>
        <w:textAlignment w:val="top"/>
        <w:rPr>
          <w:rFonts w:asciiTheme="majorEastAsia" w:hAnsiTheme="majorEastAsia" w:eastAsiaTheme="majorEastAsia"/>
          <w:sz w:val="24"/>
        </w:rPr>
      </w:pPr>
      <w:r>
        <w:rPr>
          <w:rFonts w:hint="eastAsia" w:asciiTheme="majorEastAsia" w:hAnsiTheme="majorEastAsia" w:eastAsiaTheme="majorEastAsia"/>
          <w:sz w:val="24"/>
        </w:rPr>
        <w:t>6.《资产评估执业准则——资产评估方法》（中评协[2019]35号，2021年3月1日起实施）；</w:t>
      </w:r>
    </w:p>
    <w:p>
      <w:pPr>
        <w:snapToGrid w:val="0"/>
        <w:spacing w:line="360" w:lineRule="auto"/>
        <w:ind w:firstLine="480" w:firstLineChars="200"/>
        <w:textAlignment w:val="top"/>
        <w:rPr>
          <w:rFonts w:asciiTheme="majorEastAsia" w:hAnsiTheme="majorEastAsia" w:eastAsiaTheme="majorEastAsia"/>
          <w:sz w:val="24"/>
        </w:rPr>
      </w:pPr>
      <w:r>
        <w:rPr>
          <w:rFonts w:hint="eastAsia" w:asciiTheme="majorEastAsia" w:hAnsiTheme="majorEastAsia" w:eastAsiaTheme="majorEastAsia"/>
          <w:sz w:val="24"/>
        </w:rPr>
        <w:t>7</w:t>
      </w:r>
      <w:r>
        <w:rPr>
          <w:rFonts w:asciiTheme="majorEastAsia" w:hAnsiTheme="majorEastAsia" w:eastAsiaTheme="majorEastAsia"/>
          <w:sz w:val="24"/>
        </w:rPr>
        <w:t>.</w:t>
      </w:r>
      <w:r>
        <w:rPr>
          <w:rFonts w:hint="eastAsia" w:asciiTheme="majorEastAsia" w:hAnsiTheme="majorEastAsia" w:eastAsiaTheme="majorEastAsia"/>
          <w:sz w:val="24"/>
        </w:rPr>
        <w:t>《资产评估执业准则——资产评估档案》（中评协[2018]37号，2019年1月1日起实施）；</w:t>
      </w:r>
    </w:p>
    <w:p>
      <w:pPr>
        <w:snapToGrid w:val="0"/>
        <w:spacing w:line="360" w:lineRule="auto"/>
        <w:ind w:firstLine="480" w:firstLineChars="200"/>
        <w:textAlignment w:val="top"/>
        <w:rPr>
          <w:rFonts w:asciiTheme="majorEastAsia" w:hAnsiTheme="majorEastAsia" w:eastAsiaTheme="majorEastAsia"/>
          <w:sz w:val="24"/>
        </w:rPr>
      </w:pPr>
      <w:r>
        <w:rPr>
          <w:rFonts w:hint="eastAsia" w:asciiTheme="majorEastAsia" w:hAnsiTheme="majorEastAsia" w:eastAsiaTheme="majorEastAsia"/>
          <w:sz w:val="24"/>
        </w:rPr>
        <w:t>8.《资产评估执业准则——不动产》（中评协[2017]38号，2017年10月1日起实施）；</w:t>
      </w:r>
    </w:p>
    <w:p>
      <w:pPr>
        <w:spacing w:line="360" w:lineRule="auto"/>
        <w:ind w:firstLine="424" w:firstLineChars="177"/>
        <w:textAlignment w:val="top"/>
        <w:rPr>
          <w:rFonts w:asciiTheme="majorEastAsia" w:hAnsiTheme="majorEastAsia" w:eastAsiaTheme="majorEastAsia"/>
          <w:sz w:val="24"/>
        </w:rPr>
      </w:pPr>
      <w:r>
        <w:rPr>
          <w:rFonts w:hint="eastAsia" w:asciiTheme="majorEastAsia" w:hAnsiTheme="majorEastAsia" w:eastAsiaTheme="majorEastAsia"/>
          <w:sz w:val="24"/>
        </w:rPr>
        <w:t>9</w:t>
      </w:r>
      <w:r>
        <w:rPr>
          <w:rFonts w:asciiTheme="majorEastAsia" w:hAnsiTheme="majorEastAsia" w:eastAsiaTheme="majorEastAsia"/>
          <w:sz w:val="24"/>
        </w:rPr>
        <w:t>.</w:t>
      </w:r>
      <w:r>
        <w:rPr>
          <w:rFonts w:hint="eastAsia" w:cs="Times New Roman" w:asciiTheme="majorEastAsia" w:hAnsiTheme="majorEastAsia" w:eastAsiaTheme="majorEastAsia"/>
          <w:sz w:val="24"/>
        </w:rPr>
        <w:t>《资产评估机构业务质量控制指南》（中评协[2017]46号，2017年10月1日起实施）</w:t>
      </w:r>
      <w:r>
        <w:rPr>
          <w:rFonts w:hint="eastAsia" w:asciiTheme="majorEastAsia" w:hAnsiTheme="majorEastAsia" w:eastAsiaTheme="majorEastAsia"/>
          <w:sz w:val="24"/>
        </w:rPr>
        <w:t>；</w:t>
      </w:r>
    </w:p>
    <w:p>
      <w:pPr>
        <w:snapToGrid w:val="0"/>
        <w:spacing w:line="360" w:lineRule="auto"/>
        <w:ind w:firstLine="480" w:firstLineChars="200"/>
        <w:textAlignment w:val="top"/>
        <w:rPr>
          <w:rFonts w:asciiTheme="majorEastAsia" w:hAnsiTheme="majorEastAsia" w:eastAsiaTheme="majorEastAsia"/>
          <w:sz w:val="24"/>
        </w:rPr>
      </w:pPr>
      <w:r>
        <w:rPr>
          <w:rFonts w:hint="eastAsia" w:asciiTheme="majorEastAsia" w:hAnsiTheme="majorEastAsia" w:eastAsiaTheme="majorEastAsia"/>
          <w:sz w:val="24"/>
        </w:rPr>
        <w:t>1</w:t>
      </w:r>
      <w:r>
        <w:rPr>
          <w:rFonts w:hint="eastAsia" w:asciiTheme="majorEastAsia" w:hAnsiTheme="majorEastAsia" w:eastAsiaTheme="majorEastAsia"/>
          <w:sz w:val="24"/>
          <w:lang w:val="en-US" w:eastAsia="zh-CN"/>
        </w:rPr>
        <w:t>0</w:t>
      </w:r>
      <w:r>
        <w:rPr>
          <w:rFonts w:asciiTheme="majorEastAsia" w:hAnsiTheme="majorEastAsia" w:eastAsiaTheme="majorEastAsia"/>
          <w:sz w:val="24"/>
        </w:rPr>
        <w:t>.</w:t>
      </w:r>
      <w:r>
        <w:rPr>
          <w:rFonts w:hint="eastAsia" w:asciiTheme="majorEastAsia" w:hAnsiTheme="majorEastAsia" w:eastAsiaTheme="majorEastAsia"/>
          <w:sz w:val="24"/>
        </w:rPr>
        <w:t>《资产评估价值类型指导意见》（中评协[2017]47号，2017年10月1日起</w:t>
      </w:r>
    </w:p>
    <w:p>
      <w:pPr>
        <w:snapToGrid w:val="0"/>
        <w:spacing w:line="360" w:lineRule="auto"/>
        <w:textAlignment w:val="top"/>
        <w:rPr>
          <w:rFonts w:asciiTheme="majorEastAsia" w:hAnsiTheme="majorEastAsia" w:eastAsiaTheme="majorEastAsia"/>
          <w:sz w:val="24"/>
        </w:rPr>
      </w:pPr>
      <w:r>
        <w:rPr>
          <w:rFonts w:hint="eastAsia" w:asciiTheme="majorEastAsia" w:hAnsiTheme="majorEastAsia" w:eastAsiaTheme="majorEastAsia"/>
          <w:sz w:val="24"/>
        </w:rPr>
        <w:t>实施）；</w:t>
      </w:r>
    </w:p>
    <w:p>
      <w:pPr>
        <w:snapToGrid w:val="0"/>
        <w:spacing w:line="360" w:lineRule="auto"/>
        <w:ind w:firstLine="480" w:firstLineChars="200"/>
        <w:textAlignment w:val="top"/>
        <w:rPr>
          <w:rFonts w:asciiTheme="majorEastAsia" w:hAnsiTheme="majorEastAsia" w:eastAsiaTheme="majorEastAsia"/>
          <w:sz w:val="24"/>
        </w:rPr>
      </w:pPr>
      <w:r>
        <w:rPr>
          <w:rFonts w:hint="eastAsia" w:asciiTheme="majorEastAsia" w:hAnsiTheme="majorEastAsia" w:eastAsiaTheme="majorEastAsia"/>
          <w:sz w:val="24"/>
        </w:rPr>
        <w:t>1</w:t>
      </w:r>
      <w:r>
        <w:rPr>
          <w:rFonts w:hint="eastAsia" w:asciiTheme="majorEastAsia" w:hAnsiTheme="majorEastAsia" w:eastAsiaTheme="majorEastAsia"/>
          <w:sz w:val="24"/>
          <w:lang w:val="en-US" w:eastAsia="zh-CN"/>
        </w:rPr>
        <w:t>1</w:t>
      </w:r>
      <w:r>
        <w:rPr>
          <w:rFonts w:hint="eastAsia" w:asciiTheme="majorEastAsia" w:hAnsiTheme="majorEastAsia" w:eastAsiaTheme="majorEastAsia"/>
          <w:sz w:val="24"/>
        </w:rPr>
        <w:t>.《资产评估对象法律权属指导意见》（中评协[2017]48号，2017年10月1日起实施）；</w:t>
      </w:r>
    </w:p>
    <w:p>
      <w:pPr>
        <w:snapToGrid w:val="0"/>
        <w:spacing w:line="360" w:lineRule="auto"/>
        <w:ind w:firstLine="480" w:firstLineChars="200"/>
        <w:textAlignment w:val="top"/>
        <w:rPr>
          <w:rFonts w:asciiTheme="majorEastAsia" w:hAnsiTheme="majorEastAsia" w:eastAsiaTheme="majorEastAsia"/>
          <w:sz w:val="24"/>
        </w:rPr>
      </w:pPr>
      <w:r>
        <w:rPr>
          <w:rFonts w:hint="eastAsia" w:asciiTheme="majorEastAsia" w:hAnsiTheme="majorEastAsia" w:eastAsiaTheme="majorEastAsia"/>
          <w:sz w:val="24"/>
        </w:rPr>
        <w:t>1</w:t>
      </w:r>
      <w:r>
        <w:rPr>
          <w:rFonts w:hint="eastAsia" w:asciiTheme="majorEastAsia" w:hAnsiTheme="majorEastAsia" w:eastAsiaTheme="majorEastAsia"/>
          <w:sz w:val="24"/>
          <w:lang w:val="en-US" w:eastAsia="zh-CN"/>
        </w:rPr>
        <w:t>2</w:t>
      </w:r>
      <w:r>
        <w:rPr>
          <w:rFonts w:hint="eastAsia" w:asciiTheme="majorEastAsia" w:hAnsiTheme="majorEastAsia" w:eastAsiaTheme="majorEastAsia"/>
          <w:sz w:val="24"/>
        </w:rPr>
        <w:t>.《人民法院委托司法执行财产处置资产评估指导意见》（中评协〔2019〕14号，2019年7月1日起实施）；</w:t>
      </w:r>
    </w:p>
    <w:p>
      <w:pPr>
        <w:snapToGrid w:val="0"/>
        <w:spacing w:line="360" w:lineRule="auto"/>
        <w:ind w:firstLine="480" w:firstLineChars="200"/>
        <w:textAlignment w:val="top"/>
        <w:rPr>
          <w:rFonts w:asciiTheme="majorEastAsia" w:hAnsiTheme="majorEastAsia" w:eastAsiaTheme="majorEastAsia"/>
          <w:sz w:val="24"/>
        </w:rPr>
      </w:pPr>
      <w:r>
        <w:rPr>
          <w:rFonts w:hint="eastAsia" w:asciiTheme="majorEastAsia" w:hAnsiTheme="majorEastAsia" w:eastAsiaTheme="majorEastAsia"/>
          <w:sz w:val="24"/>
        </w:rPr>
        <w:t>1</w:t>
      </w:r>
      <w:r>
        <w:rPr>
          <w:rFonts w:hint="eastAsia" w:asciiTheme="majorEastAsia" w:hAnsiTheme="majorEastAsia" w:eastAsiaTheme="majorEastAsia"/>
          <w:sz w:val="24"/>
          <w:lang w:val="en-US" w:eastAsia="zh-CN"/>
        </w:rPr>
        <w:t>3</w:t>
      </w:r>
      <w:r>
        <w:rPr>
          <w:rFonts w:hint="eastAsia" w:asciiTheme="majorEastAsia" w:hAnsiTheme="majorEastAsia" w:eastAsiaTheme="majorEastAsia"/>
          <w:sz w:val="24"/>
        </w:rPr>
        <w:t>.《资产评估专家指引第7号—中小评估机构业务质量控制》（中评协〔2015〕68号，2015年7月22日）；</w:t>
      </w:r>
    </w:p>
    <w:p>
      <w:pPr>
        <w:snapToGrid w:val="0"/>
        <w:spacing w:line="360" w:lineRule="auto"/>
        <w:ind w:firstLine="480" w:firstLineChars="200"/>
        <w:textAlignment w:val="top"/>
        <w:rPr>
          <w:rFonts w:asciiTheme="majorEastAsia" w:hAnsiTheme="majorEastAsia" w:eastAsiaTheme="majorEastAsia"/>
          <w:sz w:val="24"/>
        </w:rPr>
      </w:pPr>
      <w:r>
        <w:rPr>
          <w:rFonts w:hint="eastAsia" w:asciiTheme="majorEastAsia" w:hAnsiTheme="majorEastAsia" w:eastAsiaTheme="majorEastAsia"/>
          <w:sz w:val="24"/>
        </w:rPr>
        <w:t>1</w:t>
      </w:r>
      <w:r>
        <w:rPr>
          <w:rFonts w:hint="eastAsia" w:asciiTheme="majorEastAsia" w:hAnsiTheme="majorEastAsia" w:eastAsiaTheme="majorEastAsia"/>
          <w:sz w:val="24"/>
          <w:lang w:val="en-US" w:eastAsia="zh-CN"/>
        </w:rPr>
        <w:t>4</w:t>
      </w:r>
      <w:r>
        <w:rPr>
          <w:rFonts w:hint="eastAsia" w:asciiTheme="majorEastAsia" w:hAnsiTheme="majorEastAsia" w:eastAsiaTheme="majorEastAsia"/>
          <w:sz w:val="24"/>
        </w:rPr>
        <w:t>.《资产评估专家指引第8号—资产评估中的核查验证》（证中评协〔2019〕39号，2019年12月31日）。</w:t>
      </w:r>
    </w:p>
    <w:p>
      <w:pPr>
        <w:spacing w:line="360" w:lineRule="auto"/>
        <w:ind w:firstLine="424" w:firstLineChars="177"/>
        <w:textAlignment w:val="top"/>
        <w:rPr>
          <w:rFonts w:asciiTheme="majorEastAsia" w:hAnsiTheme="majorEastAsia" w:eastAsiaTheme="majorEastAsia"/>
          <w:sz w:val="24"/>
        </w:rPr>
      </w:pPr>
      <w:r>
        <w:rPr>
          <w:rFonts w:hint="eastAsia" w:asciiTheme="majorEastAsia" w:hAnsiTheme="majorEastAsia" w:eastAsiaTheme="majorEastAsia"/>
          <w:sz w:val="24"/>
        </w:rPr>
        <w:t>（四）权属依据</w:t>
      </w:r>
    </w:p>
    <w:p>
      <w:pPr>
        <w:spacing w:line="360" w:lineRule="auto"/>
        <w:ind w:firstLine="480" w:firstLineChars="200"/>
        <w:textAlignment w:val="top"/>
        <w:rPr>
          <w:rFonts w:hint="eastAsia" w:asciiTheme="majorEastAsia" w:hAnsiTheme="majorEastAsia" w:eastAsiaTheme="majorEastAsia"/>
          <w:sz w:val="24"/>
          <w:lang w:eastAsia="zh-CN"/>
        </w:rPr>
      </w:pPr>
      <w:r>
        <w:rPr>
          <w:rFonts w:asciiTheme="majorEastAsia" w:hAnsiTheme="majorEastAsia" w:eastAsiaTheme="majorEastAsia"/>
          <w:sz w:val="24"/>
        </w:rPr>
        <w:t>1</w:t>
      </w:r>
      <w:r>
        <w:rPr>
          <w:rFonts w:hint="eastAsia" w:asciiTheme="majorEastAsia" w:hAnsiTheme="majorEastAsia" w:eastAsiaTheme="majorEastAsia"/>
          <w:sz w:val="24"/>
        </w:rPr>
        <w:t>.《不动产</w:t>
      </w:r>
      <w:r>
        <w:rPr>
          <w:rFonts w:hint="eastAsia" w:asciiTheme="majorEastAsia" w:hAnsiTheme="majorEastAsia" w:eastAsiaTheme="majorEastAsia"/>
          <w:sz w:val="24"/>
          <w:lang w:eastAsia="zh-CN"/>
        </w:rPr>
        <w:t>查询结果证明</w:t>
      </w:r>
      <w:r>
        <w:rPr>
          <w:rFonts w:hint="eastAsia" w:asciiTheme="majorEastAsia" w:hAnsiTheme="majorEastAsia" w:eastAsiaTheme="majorEastAsia"/>
          <w:sz w:val="24"/>
        </w:rPr>
        <w:t>》</w:t>
      </w:r>
      <w:r>
        <w:rPr>
          <w:rFonts w:hint="eastAsia" w:asciiTheme="majorEastAsia" w:hAnsiTheme="majorEastAsia" w:eastAsiaTheme="majorEastAsia"/>
          <w:sz w:val="24"/>
          <w:lang w:eastAsia="zh-CN"/>
        </w:rPr>
        <w:t>。</w:t>
      </w:r>
    </w:p>
    <w:p>
      <w:pPr>
        <w:spacing w:line="360" w:lineRule="auto"/>
        <w:ind w:firstLine="360" w:firstLineChars="150"/>
        <w:textAlignment w:val="top"/>
        <w:rPr>
          <w:rFonts w:asciiTheme="majorEastAsia" w:hAnsiTheme="majorEastAsia" w:eastAsiaTheme="majorEastAsia"/>
          <w:sz w:val="24"/>
        </w:rPr>
      </w:pPr>
      <w:r>
        <w:rPr>
          <w:rFonts w:hint="eastAsia" w:asciiTheme="majorEastAsia" w:hAnsiTheme="majorEastAsia" w:eastAsiaTheme="majorEastAsia"/>
          <w:sz w:val="24"/>
        </w:rPr>
        <w:t>（五）取价依据</w:t>
      </w:r>
    </w:p>
    <w:p>
      <w:pPr>
        <w:tabs>
          <w:tab w:val="left" w:pos="480"/>
        </w:tabs>
        <w:snapToGrid w:val="0"/>
        <w:spacing w:line="360" w:lineRule="auto"/>
        <w:ind w:firstLine="480" w:firstLineChars="200"/>
        <w:rPr>
          <w:rFonts w:asciiTheme="majorEastAsia" w:hAnsiTheme="majorEastAsia" w:eastAsiaTheme="majorEastAsia"/>
          <w:color w:val="FF0000"/>
          <w:sz w:val="24"/>
        </w:rPr>
      </w:pPr>
      <w:r>
        <w:rPr>
          <w:rFonts w:hint="eastAsia" w:cs="仿宋_GB2312" w:asciiTheme="majorEastAsia" w:hAnsiTheme="majorEastAsia" w:eastAsiaTheme="majorEastAsia"/>
          <w:color w:val="000000"/>
          <w:sz w:val="24"/>
        </w:rPr>
        <w:t>1.</w:t>
      </w:r>
      <w:r>
        <w:rPr>
          <w:rFonts w:hint="eastAsia" w:cs="仿宋_GB2312" w:asciiTheme="majorEastAsia" w:hAnsiTheme="majorEastAsia" w:eastAsiaTheme="majorEastAsia"/>
          <w:color w:val="000000"/>
          <w:sz w:val="24"/>
          <w:lang w:eastAsia="zh-CN"/>
        </w:rPr>
        <w:t>评估专业人员</w:t>
      </w:r>
      <w:r>
        <w:rPr>
          <w:rFonts w:hint="eastAsia" w:cs="仿宋_GB2312" w:asciiTheme="majorEastAsia" w:hAnsiTheme="majorEastAsia" w:eastAsiaTheme="majorEastAsia"/>
          <w:color w:val="000000"/>
          <w:sz w:val="24"/>
        </w:rPr>
        <w:t>现场查看和市场调查取得的与评估相关的资料</w:t>
      </w:r>
      <w:bookmarkStart w:id="11" w:name="_Toc434848666"/>
      <w:r>
        <w:rPr>
          <w:rFonts w:hint="eastAsia" w:cs="仿宋_GB2312" w:asciiTheme="majorEastAsia" w:hAnsiTheme="majorEastAsia" w:eastAsiaTheme="majorEastAsia"/>
          <w:color w:val="000000"/>
          <w:sz w:val="24"/>
        </w:rPr>
        <w:t>。</w:t>
      </w:r>
      <w:bookmarkEnd w:id="11"/>
    </w:p>
    <w:p>
      <w:pPr>
        <w:spacing w:line="460" w:lineRule="exact"/>
        <w:ind w:firstLine="482" w:firstLineChars="200"/>
        <w:jc w:val="left"/>
        <w:rPr>
          <w:rFonts w:asciiTheme="majorEastAsia" w:hAnsiTheme="majorEastAsia" w:eastAsiaTheme="majorEastAsia"/>
          <w:sz w:val="24"/>
        </w:rPr>
      </w:pPr>
      <w:r>
        <w:rPr>
          <w:rFonts w:hint="eastAsia" w:asciiTheme="majorEastAsia" w:hAnsiTheme="majorEastAsia" w:eastAsiaTheme="majorEastAsia"/>
          <w:b/>
          <w:sz w:val="24"/>
        </w:rPr>
        <w:t>七、评估方法</w:t>
      </w:r>
    </w:p>
    <w:p>
      <w:pPr>
        <w:spacing w:line="460" w:lineRule="exact"/>
        <w:ind w:firstLine="480" w:firstLineChars="200"/>
        <w:jc w:val="left"/>
        <w:rPr>
          <w:rFonts w:asciiTheme="majorEastAsia" w:hAnsiTheme="majorEastAsia" w:eastAsiaTheme="majorEastAsia"/>
          <w:color w:val="000000"/>
          <w:sz w:val="24"/>
        </w:rPr>
      </w:pPr>
      <w:r>
        <w:rPr>
          <w:rFonts w:hint="eastAsia" w:asciiTheme="majorEastAsia" w:hAnsiTheme="majorEastAsia" w:eastAsiaTheme="majorEastAsia"/>
          <w:color w:val="000000"/>
          <w:sz w:val="24"/>
        </w:rPr>
        <w:t>资产评估基本方法包括市场法、收益法和成本法。市场法是利用市场上同样或类似资产的近期交易价格，经过直接比较或类比分析以估测资产价值的各种评估技术方法的总称；收益法是通过估测被评估资产未来预期收益的现值来判断资产价值的各种评估方法的总称；成本法是指首先估测被评估资产的重置成本，然后估测被评估资产已存在的各种贬损因素，并将其从重置成本中予以扣除而得到被评估资产价值的各种评估方法的总称。</w:t>
      </w:r>
    </w:p>
    <w:p>
      <w:pPr>
        <w:spacing w:line="460" w:lineRule="exact"/>
        <w:ind w:firstLine="480" w:firstLineChars="200"/>
        <w:jc w:val="left"/>
        <w:rPr>
          <w:rFonts w:asciiTheme="majorEastAsia" w:hAnsiTheme="majorEastAsia" w:eastAsiaTheme="majorEastAsia"/>
          <w:color w:val="000000"/>
          <w:sz w:val="24"/>
        </w:rPr>
      </w:pPr>
      <w:r>
        <w:rPr>
          <w:rFonts w:hint="eastAsia" w:asciiTheme="majorEastAsia" w:hAnsiTheme="majorEastAsia" w:eastAsiaTheme="majorEastAsia"/>
          <w:color w:val="000000"/>
          <w:sz w:val="24"/>
        </w:rPr>
        <w:t>评估方法的选用是根据委估资产的综合情况判断，此次评估的价格标准为市场价值标准，依据评估目的和资产现状，</w:t>
      </w:r>
      <w:r>
        <w:rPr>
          <w:rFonts w:hint="eastAsia" w:asciiTheme="majorEastAsia" w:hAnsiTheme="majorEastAsia" w:eastAsiaTheme="majorEastAsia"/>
          <w:color w:val="000000"/>
          <w:sz w:val="24"/>
          <w:szCs w:val="24"/>
          <w:lang w:eastAsia="zh-CN"/>
        </w:rPr>
        <w:t>成本法估算的评估结果不能充分体现委估资产的市场价值，</w:t>
      </w:r>
      <w:r>
        <w:rPr>
          <w:rFonts w:hint="eastAsia" w:asciiTheme="majorEastAsia" w:hAnsiTheme="majorEastAsia" w:eastAsiaTheme="majorEastAsia"/>
          <w:color w:val="000000"/>
          <w:sz w:val="24"/>
        </w:rPr>
        <w:t>收益法中委托资产无法获取未来几年的盈利预测数据以及折现率等相关资料，故本次评估不适合使用成本法和收益法。本次评估的资产在市场法中有比较活跃的交易市场，可供比较的交易案例；故本次评估采用市场法进行评估，我们认为此评估方法的选用是恰当的。</w:t>
      </w:r>
    </w:p>
    <w:p>
      <w:pPr>
        <w:spacing w:line="460" w:lineRule="exact"/>
        <w:ind w:firstLine="482" w:firstLineChars="200"/>
        <w:jc w:val="left"/>
        <w:rPr>
          <w:rFonts w:asciiTheme="majorEastAsia" w:hAnsiTheme="majorEastAsia" w:eastAsiaTheme="majorEastAsia"/>
          <w:b/>
          <w:sz w:val="24"/>
        </w:rPr>
      </w:pPr>
      <w:r>
        <w:rPr>
          <w:rFonts w:hint="eastAsia" w:asciiTheme="majorEastAsia" w:hAnsiTheme="majorEastAsia" w:eastAsiaTheme="majorEastAsia"/>
          <w:b/>
          <w:sz w:val="24"/>
        </w:rPr>
        <w:t>八、评估程序实施过程和情况</w:t>
      </w:r>
    </w:p>
    <w:p>
      <w:pPr>
        <w:tabs>
          <w:tab w:val="left" w:pos="0"/>
          <w:tab w:val="left" w:pos="8295"/>
        </w:tabs>
        <w:spacing w:line="460" w:lineRule="exact"/>
        <w:ind w:firstLine="523" w:firstLineChars="218"/>
        <w:rPr>
          <w:rFonts w:asciiTheme="majorEastAsia" w:hAnsiTheme="majorEastAsia" w:eastAsiaTheme="majorEastAsia"/>
          <w:sz w:val="24"/>
        </w:rPr>
      </w:pPr>
      <w:r>
        <w:rPr>
          <w:rFonts w:hint="eastAsia" w:asciiTheme="majorEastAsia" w:hAnsiTheme="majorEastAsia" w:eastAsiaTheme="majorEastAsia"/>
          <w:sz w:val="24"/>
        </w:rPr>
        <w:t>我所于</w:t>
      </w:r>
      <w:r>
        <w:rPr>
          <w:rFonts w:hint="eastAsia" w:asciiTheme="majorEastAsia" w:hAnsiTheme="majorEastAsia" w:eastAsiaTheme="majorEastAsia"/>
          <w:sz w:val="24"/>
          <w:lang w:eastAsia="zh-CN"/>
        </w:rPr>
        <w:t>202</w:t>
      </w:r>
      <w:r>
        <w:rPr>
          <w:rFonts w:hint="eastAsia" w:asciiTheme="majorEastAsia" w:hAnsiTheme="majorEastAsia" w:eastAsiaTheme="majorEastAsia"/>
          <w:sz w:val="24"/>
          <w:lang w:val="en-US" w:eastAsia="zh-CN"/>
        </w:rPr>
        <w:t>2</w:t>
      </w:r>
      <w:r>
        <w:rPr>
          <w:rFonts w:hint="eastAsia" w:asciiTheme="majorEastAsia" w:hAnsiTheme="majorEastAsia" w:eastAsiaTheme="majorEastAsia"/>
          <w:sz w:val="24"/>
          <w:lang w:eastAsia="zh-CN"/>
        </w:rPr>
        <w:t>年</w:t>
      </w:r>
      <w:r>
        <w:rPr>
          <w:rFonts w:hint="eastAsia" w:asciiTheme="majorEastAsia" w:hAnsiTheme="majorEastAsia" w:eastAsiaTheme="majorEastAsia"/>
          <w:sz w:val="24"/>
          <w:lang w:val="en-US" w:eastAsia="zh-CN"/>
        </w:rPr>
        <w:t>2</w:t>
      </w:r>
      <w:r>
        <w:rPr>
          <w:rFonts w:hint="eastAsia" w:asciiTheme="majorEastAsia" w:hAnsiTheme="majorEastAsia" w:eastAsiaTheme="majorEastAsia"/>
          <w:sz w:val="24"/>
          <w:lang w:eastAsia="zh-CN"/>
        </w:rPr>
        <w:t>月</w:t>
      </w:r>
      <w:r>
        <w:rPr>
          <w:rFonts w:hint="eastAsia" w:asciiTheme="majorEastAsia" w:hAnsiTheme="majorEastAsia" w:eastAsiaTheme="majorEastAsia"/>
          <w:sz w:val="24"/>
          <w:lang w:val="en-US" w:eastAsia="zh-CN"/>
        </w:rPr>
        <w:t>22</w:t>
      </w:r>
      <w:r>
        <w:rPr>
          <w:rFonts w:hint="eastAsia" w:asciiTheme="majorEastAsia" w:hAnsiTheme="majorEastAsia" w:eastAsiaTheme="majorEastAsia"/>
          <w:sz w:val="24"/>
          <w:lang w:eastAsia="zh-CN"/>
        </w:rPr>
        <w:t>日</w:t>
      </w:r>
      <w:r>
        <w:rPr>
          <w:rFonts w:hint="eastAsia" w:asciiTheme="majorEastAsia" w:hAnsiTheme="majorEastAsia" w:eastAsiaTheme="majorEastAsia"/>
          <w:sz w:val="24"/>
        </w:rPr>
        <w:t>接受</w:t>
      </w:r>
      <w:r>
        <w:rPr>
          <w:rFonts w:hint="eastAsia" w:asciiTheme="majorEastAsia" w:hAnsiTheme="majorEastAsia" w:eastAsiaTheme="majorEastAsia"/>
          <w:sz w:val="24"/>
          <w:lang w:eastAsia="zh-CN"/>
        </w:rPr>
        <w:t>辽源市龙山区人民法院</w:t>
      </w:r>
      <w:r>
        <w:rPr>
          <w:rFonts w:hint="eastAsia" w:asciiTheme="majorEastAsia" w:hAnsiTheme="majorEastAsia" w:eastAsiaTheme="majorEastAsia"/>
          <w:sz w:val="24"/>
        </w:rPr>
        <w:t>司法辅助办公室的委托，对其委</w:t>
      </w:r>
      <w:r>
        <w:rPr>
          <w:rFonts w:hint="eastAsia" w:asciiTheme="majorEastAsia" w:hAnsiTheme="majorEastAsia" w:eastAsiaTheme="majorEastAsia"/>
          <w:sz w:val="24"/>
          <w:highlight w:val="none"/>
        </w:rPr>
        <w:t>托评估的单项资产于</w:t>
      </w:r>
      <w:r>
        <w:rPr>
          <w:rFonts w:hint="eastAsia" w:asciiTheme="majorEastAsia" w:hAnsiTheme="majorEastAsia" w:eastAsiaTheme="majorEastAsia"/>
          <w:sz w:val="24"/>
          <w:highlight w:val="none"/>
          <w:lang w:eastAsia="zh-CN"/>
        </w:rPr>
        <w:t>202</w:t>
      </w:r>
      <w:r>
        <w:rPr>
          <w:rFonts w:hint="eastAsia" w:asciiTheme="majorEastAsia" w:hAnsiTheme="majorEastAsia" w:eastAsiaTheme="majorEastAsia"/>
          <w:sz w:val="24"/>
          <w:highlight w:val="none"/>
          <w:lang w:val="en-US" w:eastAsia="zh-CN"/>
        </w:rPr>
        <w:t>2</w:t>
      </w:r>
      <w:r>
        <w:rPr>
          <w:rFonts w:hint="eastAsia" w:asciiTheme="majorEastAsia" w:hAnsiTheme="majorEastAsia" w:eastAsiaTheme="majorEastAsia"/>
          <w:sz w:val="24"/>
          <w:highlight w:val="none"/>
          <w:lang w:eastAsia="zh-CN"/>
        </w:rPr>
        <w:t>年</w:t>
      </w:r>
      <w:r>
        <w:rPr>
          <w:rFonts w:hint="eastAsia" w:asciiTheme="majorEastAsia" w:hAnsiTheme="majorEastAsia" w:eastAsiaTheme="majorEastAsia"/>
          <w:sz w:val="24"/>
          <w:highlight w:val="none"/>
          <w:lang w:val="en-US" w:eastAsia="zh-CN"/>
        </w:rPr>
        <w:t>2</w:t>
      </w:r>
      <w:r>
        <w:rPr>
          <w:rFonts w:hint="eastAsia" w:asciiTheme="majorEastAsia" w:hAnsiTheme="majorEastAsia" w:eastAsiaTheme="majorEastAsia"/>
          <w:sz w:val="24"/>
          <w:highlight w:val="none"/>
          <w:lang w:eastAsia="zh-CN"/>
        </w:rPr>
        <w:t>月</w:t>
      </w:r>
      <w:r>
        <w:rPr>
          <w:rFonts w:hint="eastAsia" w:asciiTheme="majorEastAsia" w:hAnsiTheme="majorEastAsia" w:eastAsiaTheme="majorEastAsia"/>
          <w:sz w:val="24"/>
          <w:highlight w:val="none"/>
          <w:lang w:val="en-US" w:eastAsia="zh-CN"/>
        </w:rPr>
        <w:t>23</w:t>
      </w:r>
      <w:r>
        <w:rPr>
          <w:rFonts w:hint="eastAsia" w:asciiTheme="majorEastAsia" w:hAnsiTheme="majorEastAsia" w:eastAsiaTheme="majorEastAsia"/>
          <w:sz w:val="24"/>
          <w:highlight w:val="none"/>
          <w:lang w:eastAsia="zh-CN"/>
        </w:rPr>
        <w:t>日</w:t>
      </w:r>
      <w:r>
        <w:rPr>
          <w:rFonts w:hint="eastAsia" w:asciiTheme="majorEastAsia" w:hAnsiTheme="majorEastAsia" w:eastAsiaTheme="majorEastAsia"/>
          <w:sz w:val="24"/>
          <w:highlight w:val="none"/>
        </w:rPr>
        <w:t>正式开始评估工作，</w:t>
      </w:r>
      <w:r>
        <w:rPr>
          <w:rFonts w:hint="eastAsia" w:cs="Arial" w:asciiTheme="majorEastAsia" w:hAnsiTheme="majorEastAsia" w:eastAsiaTheme="majorEastAsia"/>
          <w:sz w:val="24"/>
          <w:highlight w:val="none"/>
          <w:lang w:eastAsia="zh-CN"/>
        </w:rPr>
        <w:t>202</w:t>
      </w:r>
      <w:r>
        <w:rPr>
          <w:rFonts w:hint="eastAsia" w:cs="Arial" w:asciiTheme="majorEastAsia" w:hAnsiTheme="majorEastAsia" w:eastAsiaTheme="majorEastAsia"/>
          <w:sz w:val="24"/>
          <w:highlight w:val="none"/>
          <w:lang w:val="en-US" w:eastAsia="zh-CN"/>
        </w:rPr>
        <w:t>2</w:t>
      </w:r>
      <w:r>
        <w:rPr>
          <w:rFonts w:hint="eastAsia" w:cs="Arial" w:asciiTheme="majorEastAsia" w:hAnsiTheme="majorEastAsia" w:eastAsiaTheme="majorEastAsia"/>
          <w:sz w:val="24"/>
          <w:highlight w:val="none"/>
          <w:lang w:eastAsia="zh-CN"/>
        </w:rPr>
        <w:t>年</w:t>
      </w:r>
      <w:r>
        <w:rPr>
          <w:rFonts w:hint="eastAsia" w:cs="Arial" w:asciiTheme="majorEastAsia" w:hAnsiTheme="majorEastAsia" w:eastAsiaTheme="majorEastAsia"/>
          <w:sz w:val="24"/>
          <w:highlight w:val="none"/>
          <w:lang w:val="en-US" w:eastAsia="zh-CN"/>
        </w:rPr>
        <w:t>4</w:t>
      </w:r>
      <w:r>
        <w:rPr>
          <w:rFonts w:hint="eastAsia" w:cs="Arial" w:asciiTheme="majorEastAsia" w:hAnsiTheme="majorEastAsia" w:eastAsiaTheme="majorEastAsia"/>
          <w:sz w:val="24"/>
          <w:highlight w:val="none"/>
          <w:lang w:eastAsia="zh-CN"/>
        </w:rPr>
        <w:t>月</w:t>
      </w:r>
      <w:r>
        <w:rPr>
          <w:rFonts w:hint="eastAsia" w:cs="Arial" w:asciiTheme="majorEastAsia" w:hAnsiTheme="majorEastAsia" w:eastAsiaTheme="majorEastAsia"/>
          <w:sz w:val="24"/>
          <w:highlight w:val="none"/>
          <w:lang w:val="en-US" w:eastAsia="zh-CN"/>
        </w:rPr>
        <w:t>6</w:t>
      </w:r>
      <w:r>
        <w:rPr>
          <w:rFonts w:hint="eastAsia" w:cs="Arial" w:asciiTheme="majorEastAsia" w:hAnsiTheme="majorEastAsia" w:eastAsiaTheme="majorEastAsia"/>
          <w:sz w:val="24"/>
          <w:highlight w:val="none"/>
          <w:lang w:eastAsia="zh-CN"/>
        </w:rPr>
        <w:t>日</w:t>
      </w:r>
      <w:r>
        <w:rPr>
          <w:rFonts w:hint="eastAsia" w:asciiTheme="majorEastAsia" w:hAnsiTheme="majorEastAsia" w:eastAsiaTheme="majorEastAsia"/>
          <w:sz w:val="24"/>
          <w:highlight w:val="none"/>
        </w:rPr>
        <w:t>出具资</w:t>
      </w:r>
      <w:r>
        <w:rPr>
          <w:rFonts w:hint="eastAsia" w:asciiTheme="majorEastAsia" w:hAnsiTheme="majorEastAsia" w:eastAsiaTheme="majorEastAsia"/>
          <w:sz w:val="24"/>
        </w:rPr>
        <w:t>产评估报告。</w:t>
      </w:r>
    </w:p>
    <w:p>
      <w:pPr>
        <w:spacing w:line="460" w:lineRule="exact"/>
        <w:ind w:firstLine="480" w:firstLineChars="200"/>
        <w:jc w:val="left"/>
        <w:rPr>
          <w:rFonts w:cs="Courier New" w:asciiTheme="majorEastAsia" w:hAnsiTheme="majorEastAsia" w:eastAsiaTheme="majorEastAsia"/>
          <w:sz w:val="24"/>
        </w:rPr>
      </w:pPr>
      <w:r>
        <w:rPr>
          <w:rFonts w:hint="eastAsia" w:cs="Courier New" w:asciiTheme="majorEastAsia" w:hAnsiTheme="majorEastAsia" w:eastAsiaTheme="majorEastAsia"/>
          <w:sz w:val="24"/>
        </w:rPr>
        <w:t>从评估业务基本事项起到工作底稿归档工作过程中,分七个过程进行资产评估,这七个过程依次为：</w:t>
      </w:r>
    </w:p>
    <w:p>
      <w:pPr>
        <w:tabs>
          <w:tab w:val="left" w:pos="1590"/>
        </w:tabs>
        <w:spacing w:line="460" w:lineRule="exact"/>
        <w:ind w:firstLine="482" w:firstLineChars="200"/>
        <w:jc w:val="left"/>
        <w:rPr>
          <w:rFonts w:cs="Courier New" w:asciiTheme="majorEastAsia" w:hAnsiTheme="majorEastAsia" w:eastAsiaTheme="majorEastAsia"/>
          <w:b/>
          <w:sz w:val="24"/>
        </w:rPr>
      </w:pPr>
      <w:r>
        <w:rPr>
          <w:rFonts w:hint="eastAsia" w:cs="Courier New" w:asciiTheme="majorEastAsia" w:hAnsiTheme="majorEastAsia" w:eastAsiaTheme="majorEastAsia"/>
          <w:b/>
          <w:sz w:val="24"/>
        </w:rPr>
        <w:t>（一）接受人民法院司法执行财产处置业务委托</w:t>
      </w:r>
    </w:p>
    <w:p>
      <w:pPr>
        <w:spacing w:line="460" w:lineRule="exact"/>
        <w:ind w:firstLine="480" w:firstLineChars="200"/>
        <w:jc w:val="left"/>
        <w:rPr>
          <w:rFonts w:cs="Courier New" w:asciiTheme="majorEastAsia" w:hAnsiTheme="majorEastAsia" w:eastAsiaTheme="majorEastAsia"/>
          <w:sz w:val="24"/>
        </w:rPr>
      </w:pPr>
      <w:r>
        <w:rPr>
          <w:rFonts w:hint="eastAsia" w:cs="Courier New" w:asciiTheme="majorEastAsia" w:hAnsiTheme="majorEastAsia" w:eastAsiaTheme="majorEastAsia"/>
          <w:sz w:val="24"/>
        </w:rPr>
        <w:t>资产评估机构和人员在接到人民法院通知接收评估委托后,按照评估委托内容及其提供的相关材料，明确司法执行财产处置评估业务的评估对象和范围、价值类型、资产评估基准日、评估报告使用限制、评估报告的提交方式及时间、评估费用等基本事项。经资产评估师根据评估业务具体情况,对专业胜任能力、独立性业务风险进行综合分析和评价,决定承接该业务。</w:t>
      </w:r>
    </w:p>
    <w:p>
      <w:pPr>
        <w:spacing w:line="460" w:lineRule="exact"/>
        <w:ind w:firstLine="482" w:firstLineChars="200"/>
        <w:jc w:val="left"/>
        <w:rPr>
          <w:rFonts w:cs="Courier New" w:asciiTheme="majorEastAsia" w:hAnsiTheme="majorEastAsia" w:eastAsiaTheme="majorEastAsia"/>
          <w:b/>
          <w:sz w:val="24"/>
        </w:rPr>
      </w:pPr>
      <w:r>
        <w:rPr>
          <w:rFonts w:hint="eastAsia" w:cs="Courier New" w:asciiTheme="majorEastAsia" w:hAnsiTheme="majorEastAsia" w:eastAsiaTheme="majorEastAsia"/>
          <w:b/>
          <w:sz w:val="24"/>
        </w:rPr>
        <w:t>（二）编制资产评估计划</w:t>
      </w:r>
    </w:p>
    <w:p>
      <w:pPr>
        <w:spacing w:line="460" w:lineRule="exact"/>
        <w:ind w:firstLine="480" w:firstLineChars="200"/>
        <w:jc w:val="left"/>
        <w:rPr>
          <w:rFonts w:cs="Courier New" w:asciiTheme="majorEastAsia" w:hAnsiTheme="majorEastAsia" w:eastAsiaTheme="majorEastAsia"/>
          <w:sz w:val="24"/>
        </w:rPr>
      </w:pPr>
      <w:r>
        <w:rPr>
          <w:rFonts w:hint="eastAsia" w:cs="Courier New" w:asciiTheme="majorEastAsia" w:hAnsiTheme="majorEastAsia" w:eastAsiaTheme="majorEastAsia"/>
          <w:sz w:val="24"/>
        </w:rPr>
        <w:t>资产评估机构和人员根据所承受的具体资产评估项目情况,编制合理的资产评估计划,并根据执行资产评估业务中具体情况,及时修改、补充资产评估计划。</w:t>
      </w:r>
    </w:p>
    <w:p>
      <w:pPr>
        <w:spacing w:line="460" w:lineRule="exact"/>
        <w:ind w:firstLine="482" w:firstLineChars="200"/>
        <w:jc w:val="left"/>
        <w:rPr>
          <w:rFonts w:cs="Courier New" w:asciiTheme="majorEastAsia" w:hAnsiTheme="majorEastAsia" w:eastAsiaTheme="majorEastAsia"/>
          <w:b/>
          <w:sz w:val="24"/>
        </w:rPr>
      </w:pPr>
      <w:r>
        <w:rPr>
          <w:rFonts w:hint="eastAsia" w:cs="Courier New" w:asciiTheme="majorEastAsia" w:hAnsiTheme="majorEastAsia" w:eastAsiaTheme="majorEastAsia"/>
          <w:b/>
          <w:sz w:val="24"/>
        </w:rPr>
        <w:t>（三）现场调查</w:t>
      </w:r>
    </w:p>
    <w:p>
      <w:pPr>
        <w:spacing w:line="460" w:lineRule="exact"/>
        <w:ind w:firstLine="480" w:firstLineChars="200"/>
        <w:jc w:val="left"/>
        <w:rPr>
          <w:rFonts w:hint="eastAsia" w:cs="Courier New" w:asciiTheme="majorEastAsia" w:hAnsiTheme="majorEastAsia" w:eastAsiaTheme="majorEastAsia"/>
          <w:sz w:val="24"/>
          <w:lang w:val="en-US" w:eastAsia="zh-CN"/>
        </w:rPr>
      </w:pPr>
      <w:r>
        <w:rPr>
          <w:rFonts w:hint="eastAsia" w:cs="Courier New" w:asciiTheme="majorEastAsia" w:hAnsiTheme="majorEastAsia" w:eastAsiaTheme="majorEastAsia"/>
          <w:sz w:val="24"/>
        </w:rPr>
        <w:t>在接受委托确定</w:t>
      </w:r>
      <w:r>
        <w:rPr>
          <w:rFonts w:hint="eastAsia" w:cs="Courier New" w:asciiTheme="majorEastAsia" w:hAnsiTheme="majorEastAsia" w:eastAsiaTheme="majorEastAsia"/>
          <w:sz w:val="24"/>
          <w:lang w:eastAsia="zh-CN"/>
        </w:rPr>
        <w:t>评估对象</w:t>
      </w:r>
      <w:r>
        <w:rPr>
          <w:rFonts w:hint="eastAsia" w:cs="Courier New" w:asciiTheme="majorEastAsia" w:hAnsiTheme="majorEastAsia" w:eastAsiaTheme="majorEastAsia"/>
          <w:sz w:val="24"/>
        </w:rPr>
        <w:t>后, 评估工作小组于</w:t>
      </w:r>
      <w:r>
        <w:rPr>
          <w:rFonts w:hint="eastAsia" w:cs="Courier New" w:asciiTheme="majorEastAsia" w:hAnsiTheme="majorEastAsia" w:eastAsiaTheme="majorEastAsia"/>
          <w:sz w:val="24"/>
          <w:lang w:eastAsia="zh-CN"/>
        </w:rPr>
        <w:t>202</w:t>
      </w:r>
      <w:r>
        <w:rPr>
          <w:rFonts w:hint="eastAsia" w:cs="Courier New" w:asciiTheme="majorEastAsia" w:hAnsiTheme="majorEastAsia" w:eastAsiaTheme="majorEastAsia"/>
          <w:sz w:val="24"/>
          <w:lang w:val="en-US" w:eastAsia="zh-CN"/>
        </w:rPr>
        <w:t>2</w:t>
      </w:r>
      <w:r>
        <w:rPr>
          <w:rFonts w:hint="eastAsia" w:cs="Courier New" w:asciiTheme="majorEastAsia" w:hAnsiTheme="majorEastAsia" w:eastAsiaTheme="majorEastAsia"/>
          <w:sz w:val="24"/>
          <w:lang w:eastAsia="zh-CN"/>
        </w:rPr>
        <w:t>年</w:t>
      </w:r>
      <w:r>
        <w:rPr>
          <w:rFonts w:hint="eastAsia" w:cs="Courier New" w:asciiTheme="majorEastAsia" w:hAnsiTheme="majorEastAsia" w:eastAsiaTheme="majorEastAsia"/>
          <w:sz w:val="24"/>
          <w:lang w:val="en-US" w:eastAsia="zh-CN"/>
        </w:rPr>
        <w:t>2</w:t>
      </w:r>
      <w:r>
        <w:rPr>
          <w:rFonts w:hint="eastAsia" w:cs="Courier New" w:asciiTheme="majorEastAsia" w:hAnsiTheme="majorEastAsia" w:eastAsiaTheme="majorEastAsia"/>
          <w:sz w:val="24"/>
          <w:lang w:eastAsia="zh-CN"/>
        </w:rPr>
        <w:t>月</w:t>
      </w:r>
      <w:r>
        <w:rPr>
          <w:rFonts w:hint="eastAsia" w:cs="Courier New" w:asciiTheme="majorEastAsia" w:hAnsiTheme="majorEastAsia" w:eastAsiaTheme="majorEastAsia"/>
          <w:sz w:val="24"/>
          <w:lang w:val="en-US" w:eastAsia="zh-CN"/>
        </w:rPr>
        <w:t>23</w:t>
      </w:r>
      <w:r>
        <w:rPr>
          <w:rFonts w:hint="eastAsia" w:cs="Courier New" w:asciiTheme="majorEastAsia" w:hAnsiTheme="majorEastAsia" w:eastAsiaTheme="majorEastAsia"/>
          <w:sz w:val="24"/>
          <w:lang w:eastAsia="zh-CN"/>
        </w:rPr>
        <w:t>日</w:t>
      </w:r>
      <w:r>
        <w:rPr>
          <w:rFonts w:hint="eastAsia" w:cs="Courier New" w:asciiTheme="majorEastAsia" w:hAnsiTheme="majorEastAsia" w:eastAsiaTheme="majorEastAsia"/>
          <w:sz w:val="24"/>
        </w:rPr>
        <w:t>,会同委托人</w:t>
      </w:r>
      <w:r>
        <w:rPr>
          <w:rFonts w:hint="eastAsia" w:cs="Courier New" w:asciiTheme="majorEastAsia" w:hAnsiTheme="majorEastAsia" w:eastAsiaTheme="majorEastAsia"/>
          <w:sz w:val="24"/>
          <w:lang w:eastAsia="zh-CN"/>
        </w:rPr>
        <w:t>和申请人</w:t>
      </w:r>
      <w:r>
        <w:rPr>
          <w:rFonts w:hint="eastAsia" w:cs="Courier New" w:asciiTheme="majorEastAsia" w:hAnsiTheme="majorEastAsia" w:eastAsiaTheme="majorEastAsia"/>
          <w:sz w:val="24"/>
        </w:rPr>
        <w:t>对评估对象进行核实</w:t>
      </w:r>
      <w:r>
        <w:rPr>
          <w:rFonts w:hint="eastAsia" w:asciiTheme="majorEastAsia" w:hAnsiTheme="majorEastAsia" w:eastAsiaTheme="majorEastAsia"/>
          <w:sz w:val="24"/>
          <w:highlight w:val="none"/>
        </w:rPr>
        <w:t>，</w:t>
      </w:r>
      <w:r>
        <w:rPr>
          <w:rFonts w:hint="eastAsia" w:cs="Courier New" w:asciiTheme="majorEastAsia" w:hAnsiTheme="majorEastAsia" w:eastAsiaTheme="majorEastAsia"/>
          <w:sz w:val="24"/>
        </w:rPr>
        <w:t>确定资产的存在性、完整性。并与相关人员进行交谈，了解资产的使用、保存状况，根据勘察情况填写现场勘查记录表</w:t>
      </w:r>
      <w:r>
        <w:rPr>
          <w:rFonts w:hint="eastAsia" w:asciiTheme="majorEastAsia" w:hAnsiTheme="majorEastAsia" w:eastAsiaTheme="majorEastAsia"/>
          <w:sz w:val="24"/>
          <w:highlight w:val="none"/>
          <w:lang w:eastAsia="zh-CN"/>
        </w:rPr>
        <w:t>。</w:t>
      </w:r>
    </w:p>
    <w:p>
      <w:pPr>
        <w:spacing w:line="460" w:lineRule="exact"/>
        <w:ind w:firstLine="482" w:firstLineChars="200"/>
        <w:jc w:val="left"/>
        <w:rPr>
          <w:rFonts w:cs="Courier New" w:asciiTheme="majorEastAsia" w:hAnsiTheme="majorEastAsia" w:eastAsiaTheme="majorEastAsia"/>
          <w:b/>
          <w:sz w:val="24"/>
        </w:rPr>
      </w:pPr>
      <w:r>
        <w:rPr>
          <w:rFonts w:hint="eastAsia" w:cs="Courier New" w:asciiTheme="majorEastAsia" w:hAnsiTheme="majorEastAsia" w:eastAsiaTheme="majorEastAsia"/>
          <w:b/>
          <w:sz w:val="24"/>
        </w:rPr>
        <w:t>（四）收集资产评估资料</w:t>
      </w:r>
    </w:p>
    <w:p>
      <w:pPr>
        <w:spacing w:line="460" w:lineRule="exact"/>
        <w:ind w:firstLine="480" w:firstLineChars="200"/>
        <w:jc w:val="left"/>
        <w:rPr>
          <w:rFonts w:cs="Courier New" w:asciiTheme="majorEastAsia" w:hAnsiTheme="majorEastAsia" w:eastAsiaTheme="majorEastAsia"/>
          <w:sz w:val="24"/>
        </w:rPr>
      </w:pPr>
      <w:r>
        <w:rPr>
          <w:rFonts w:hint="eastAsia" w:cs="Courier New" w:asciiTheme="majorEastAsia" w:hAnsiTheme="majorEastAsia" w:eastAsiaTheme="majorEastAsia"/>
          <w:sz w:val="24"/>
        </w:rPr>
        <w:t>资产评估机构和人员根据资产评估项目及情况收集资产评估相关资料。资产评估机构和资产评估师进行市场调查,收集与资产评估业务相关的资料。</w:t>
      </w:r>
    </w:p>
    <w:p>
      <w:pPr>
        <w:spacing w:line="460" w:lineRule="exact"/>
        <w:ind w:firstLine="482" w:firstLineChars="200"/>
        <w:jc w:val="left"/>
        <w:rPr>
          <w:rFonts w:cs="Courier New" w:asciiTheme="majorEastAsia" w:hAnsiTheme="majorEastAsia" w:eastAsiaTheme="majorEastAsia"/>
          <w:b/>
          <w:sz w:val="24"/>
        </w:rPr>
      </w:pPr>
      <w:r>
        <w:rPr>
          <w:rFonts w:hint="eastAsia" w:cs="Courier New" w:asciiTheme="majorEastAsia" w:hAnsiTheme="majorEastAsia" w:eastAsiaTheme="majorEastAsia"/>
          <w:b/>
          <w:sz w:val="24"/>
        </w:rPr>
        <w:t>（五）评定估算</w:t>
      </w:r>
    </w:p>
    <w:p>
      <w:pPr>
        <w:spacing w:line="460" w:lineRule="exact"/>
        <w:ind w:firstLine="480" w:firstLineChars="200"/>
        <w:jc w:val="left"/>
        <w:rPr>
          <w:rFonts w:cs="Courier New" w:asciiTheme="majorEastAsia" w:hAnsiTheme="majorEastAsia" w:eastAsiaTheme="majorEastAsia"/>
          <w:sz w:val="24"/>
        </w:rPr>
      </w:pPr>
      <w:r>
        <w:rPr>
          <w:rFonts w:hint="eastAsia" w:cs="Courier New" w:asciiTheme="majorEastAsia" w:hAnsiTheme="majorEastAsia" w:eastAsiaTheme="majorEastAsia"/>
          <w:sz w:val="24"/>
        </w:rPr>
        <w:t>资产评估机构人员对收集的资产评估资料进行充分分析,确定其可靠性、相关性、可比性,摒弃不可靠、不相关的信息。对不可比信息进行必要分析调整。在此基础上恰当选择适当的评估方法形成初步评估结论</w:t>
      </w:r>
      <w:r>
        <w:rPr>
          <w:rFonts w:hint="eastAsia" w:cs="Courier New" w:asciiTheme="majorEastAsia" w:hAnsiTheme="majorEastAsia" w:eastAsiaTheme="majorEastAsia"/>
          <w:sz w:val="24"/>
          <w:lang w:eastAsia="zh-CN"/>
        </w:rPr>
        <w:t>。</w:t>
      </w:r>
      <w:r>
        <w:rPr>
          <w:rFonts w:hint="eastAsia" w:cs="Courier New" w:asciiTheme="majorEastAsia" w:hAnsiTheme="majorEastAsia" w:eastAsiaTheme="majorEastAsia"/>
          <w:sz w:val="24"/>
        </w:rPr>
        <w:t>在形成初步资产评估结论的基础上,对信息资料、参数的数量、质量和选取的合理性等进行综合分析,以形成资产评估结论。</w:t>
      </w:r>
    </w:p>
    <w:p>
      <w:pPr>
        <w:spacing w:line="460" w:lineRule="exact"/>
        <w:ind w:firstLine="480" w:firstLineChars="200"/>
        <w:jc w:val="left"/>
        <w:rPr>
          <w:rFonts w:cs="Courier New" w:asciiTheme="majorEastAsia" w:hAnsiTheme="majorEastAsia" w:eastAsiaTheme="majorEastAsia"/>
          <w:sz w:val="24"/>
        </w:rPr>
      </w:pPr>
      <w:r>
        <w:rPr>
          <w:rFonts w:hint="eastAsia" w:cs="Courier New" w:asciiTheme="majorEastAsia" w:hAnsiTheme="majorEastAsia" w:eastAsiaTheme="majorEastAsia"/>
          <w:sz w:val="24"/>
        </w:rPr>
        <w:t>具体测算方法如下:</w:t>
      </w:r>
    </w:p>
    <w:p>
      <w:pPr>
        <w:spacing w:line="460" w:lineRule="exact"/>
        <w:ind w:left="479" w:leftChars="228"/>
        <w:jc w:val="left"/>
        <w:rPr>
          <w:rFonts w:ascii="宋体" w:hAnsi="宋体" w:eastAsia="宋体"/>
          <w:sz w:val="24"/>
          <w:highlight w:val="none"/>
        </w:rPr>
      </w:pPr>
      <w:r>
        <w:rPr>
          <w:rFonts w:hint="eastAsia" w:ascii="宋体" w:hAnsi="宋体" w:eastAsia="宋体"/>
          <w:sz w:val="24"/>
          <w:highlight w:val="none"/>
        </w:rPr>
        <w:t>本次</w:t>
      </w:r>
      <w:r>
        <w:rPr>
          <w:rFonts w:hint="eastAsia" w:ascii="宋体" w:hAnsi="宋体"/>
          <w:sz w:val="24"/>
          <w:highlight w:val="none"/>
          <w:lang w:eastAsia="zh-CN"/>
        </w:rPr>
        <w:t>住宅</w:t>
      </w:r>
      <w:r>
        <w:rPr>
          <w:rFonts w:hint="eastAsia" w:ascii="宋体" w:hAnsi="宋体" w:eastAsia="宋体"/>
          <w:sz w:val="24"/>
          <w:highlight w:val="none"/>
        </w:rPr>
        <w:t>的评估采用</w:t>
      </w:r>
      <w:r>
        <w:rPr>
          <w:rFonts w:hint="eastAsia" w:ascii="宋体" w:hAnsi="宋体"/>
          <w:sz w:val="24"/>
          <w:highlight w:val="none"/>
          <w:lang w:eastAsia="zh-CN"/>
        </w:rPr>
        <w:t>市场</w:t>
      </w:r>
      <w:r>
        <w:rPr>
          <w:rFonts w:hint="eastAsia" w:ascii="宋体" w:hAnsi="宋体" w:eastAsia="宋体"/>
          <w:sz w:val="24"/>
          <w:highlight w:val="none"/>
        </w:rPr>
        <w:t>法，即：</w:t>
      </w:r>
    </w:p>
    <w:p>
      <w:pPr>
        <w:spacing w:line="460" w:lineRule="exact"/>
        <w:ind w:firstLine="480" w:firstLineChars="200"/>
        <w:jc w:val="left"/>
        <w:rPr>
          <w:rFonts w:hint="eastAsia" w:ascii="宋体" w:hAnsi="宋体" w:cs="Courier New"/>
          <w:sz w:val="24"/>
          <w:highlight w:val="none"/>
          <w:lang w:eastAsia="zh-CN"/>
        </w:rPr>
      </w:pPr>
      <w:r>
        <w:rPr>
          <w:rFonts w:hint="eastAsia" w:ascii="宋体" w:hAnsi="宋体" w:cs="Courier New"/>
          <w:sz w:val="24"/>
          <w:highlight w:val="none"/>
          <w:lang w:eastAsia="zh-CN"/>
        </w:rPr>
        <w:t>评估对象价格=比准价格A×权重+比准价格B×权重+比准价格C×权重</w:t>
      </w:r>
    </w:p>
    <w:p>
      <w:pPr>
        <w:spacing w:line="460" w:lineRule="exact"/>
        <w:ind w:firstLine="480" w:firstLineChars="200"/>
        <w:jc w:val="left"/>
        <w:rPr>
          <w:rFonts w:hint="eastAsia" w:ascii="宋体" w:hAnsi="宋体" w:cs="Courier New"/>
          <w:sz w:val="24"/>
          <w:highlight w:val="none"/>
          <w:lang w:eastAsia="zh-CN"/>
        </w:rPr>
      </w:pPr>
      <w:r>
        <w:rPr>
          <w:rFonts w:hint="eastAsia" w:ascii="宋体" w:hAnsi="宋体" w:cs="Courier New"/>
          <w:sz w:val="24"/>
          <w:highlight w:val="none"/>
          <w:lang w:eastAsia="zh-CN"/>
        </w:rPr>
        <w:t>比准价格=可比实例价格×交易情况修正×交易期日修正×房地产状况修正</w:t>
      </w:r>
    </w:p>
    <w:p>
      <w:pPr>
        <w:spacing w:line="460" w:lineRule="exact"/>
        <w:ind w:firstLine="482" w:firstLineChars="200"/>
        <w:jc w:val="left"/>
        <w:rPr>
          <w:rFonts w:cs="Courier New" w:asciiTheme="majorEastAsia" w:hAnsiTheme="majorEastAsia" w:eastAsiaTheme="majorEastAsia"/>
          <w:b/>
          <w:sz w:val="24"/>
        </w:rPr>
      </w:pPr>
      <w:r>
        <w:rPr>
          <w:rFonts w:hint="eastAsia" w:cs="Courier New" w:asciiTheme="majorEastAsia" w:hAnsiTheme="majorEastAsia" w:eastAsiaTheme="majorEastAsia"/>
          <w:b/>
          <w:sz w:val="24"/>
        </w:rPr>
        <w:t>（六）编制和提交资产评估报告</w:t>
      </w:r>
    </w:p>
    <w:p>
      <w:pPr>
        <w:spacing w:line="460" w:lineRule="exact"/>
        <w:ind w:left="1" w:firstLine="480" w:firstLineChars="200"/>
        <w:jc w:val="left"/>
        <w:rPr>
          <w:rFonts w:cs="Courier New" w:asciiTheme="majorEastAsia" w:hAnsiTheme="majorEastAsia" w:eastAsiaTheme="majorEastAsia"/>
          <w:sz w:val="24"/>
        </w:rPr>
      </w:pPr>
      <w:r>
        <w:rPr>
          <w:rFonts w:hint="eastAsia" w:cs="Courier New" w:asciiTheme="majorEastAsia" w:hAnsiTheme="majorEastAsia" w:eastAsiaTheme="majorEastAsia"/>
          <w:sz w:val="24"/>
        </w:rPr>
        <w:t>资产评估机构和资产评估师在执行必要的资产评估程序、形成资产评估结论后,按有关资产评估报告的规范,编制资产评估报告书。向委托人提交评估报告征求意见稿,在委托人“无异议”反馈后或在答疑后进行修改,出具评估报告正式稿。</w:t>
      </w:r>
    </w:p>
    <w:p>
      <w:pPr>
        <w:spacing w:line="460" w:lineRule="exact"/>
        <w:ind w:left="1" w:firstLine="482" w:firstLineChars="200"/>
        <w:jc w:val="left"/>
        <w:rPr>
          <w:rFonts w:cs="Courier New" w:asciiTheme="majorEastAsia" w:hAnsiTheme="majorEastAsia" w:eastAsiaTheme="majorEastAsia"/>
          <w:b/>
          <w:sz w:val="24"/>
        </w:rPr>
      </w:pPr>
      <w:r>
        <w:rPr>
          <w:rFonts w:hint="eastAsia" w:cs="Courier New" w:asciiTheme="majorEastAsia" w:hAnsiTheme="majorEastAsia" w:eastAsiaTheme="majorEastAsia"/>
          <w:b/>
          <w:sz w:val="24"/>
        </w:rPr>
        <w:t>（七）资产评估工作档案归档</w:t>
      </w:r>
    </w:p>
    <w:p>
      <w:pPr>
        <w:spacing w:line="460" w:lineRule="exact"/>
        <w:ind w:firstLine="480" w:firstLineChars="200"/>
        <w:jc w:val="left"/>
        <w:rPr>
          <w:rFonts w:cs="Courier New" w:asciiTheme="majorEastAsia" w:hAnsiTheme="majorEastAsia" w:eastAsiaTheme="majorEastAsia"/>
          <w:sz w:val="24"/>
        </w:rPr>
      </w:pPr>
      <w:r>
        <w:rPr>
          <w:rFonts w:hint="eastAsia" w:cs="Courier New" w:asciiTheme="majorEastAsia" w:hAnsiTheme="majorEastAsia" w:eastAsiaTheme="majorEastAsia"/>
          <w:sz w:val="24"/>
        </w:rPr>
        <w:t>资产评估机构和资产评估师在向委托人提交资产评估报告书后,将资产评估工作档案(底稿)归档。</w:t>
      </w:r>
    </w:p>
    <w:p>
      <w:pPr>
        <w:spacing w:line="460" w:lineRule="exact"/>
        <w:ind w:firstLine="482" w:firstLineChars="200"/>
        <w:jc w:val="left"/>
        <w:rPr>
          <w:rFonts w:asciiTheme="majorEastAsia" w:hAnsiTheme="majorEastAsia" w:eastAsiaTheme="majorEastAsia"/>
          <w:b/>
          <w:sz w:val="24"/>
        </w:rPr>
      </w:pPr>
      <w:r>
        <w:rPr>
          <w:rFonts w:hint="eastAsia" w:asciiTheme="majorEastAsia" w:hAnsiTheme="majorEastAsia" w:eastAsiaTheme="majorEastAsia"/>
          <w:b/>
          <w:sz w:val="24"/>
        </w:rPr>
        <w:t>九、评估假设</w:t>
      </w:r>
    </w:p>
    <w:p>
      <w:pPr>
        <w:spacing w:line="4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（一）</w:t>
      </w:r>
      <w:r>
        <w:rPr>
          <w:rFonts w:hint="eastAsia" w:asciiTheme="majorEastAsia" w:hAnsiTheme="majorEastAsia" w:eastAsiaTheme="majorEastAsia"/>
          <w:b/>
          <w:sz w:val="24"/>
        </w:rPr>
        <w:t>基本假设</w:t>
      </w:r>
    </w:p>
    <w:p>
      <w:pPr>
        <w:spacing w:line="4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1）公开市场假设：公开市场假设是对资产拟进入的市场的条件，以及资产在这样的市场条件下接受何种影响的一种假定说明或限定。公开市场是指充分发达与完善的市场条件，是一个有自愿的买者或卖者的竞争性市场，在这个市场上，买者和卖者的地们是平等的，彼此都有获限足够市场信息的机会和时间，买卖双方的交易行为都是在自愿的、理智的而非强制的或不受限制的条件下进行的。</w:t>
      </w:r>
    </w:p>
    <w:p>
      <w:pPr>
        <w:spacing w:line="4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2）资产持续使用假设：资产持续使用假设是指评估时，被评估单位的资产按照评估基准日下在使用的用途、使用方式、使用频度、使用环境、资产规模等情况继续使用。在持续使用假设条件下，没有考虑资产用途转换或者最佳利用条件，其评估结果的使用范围受到限制。</w:t>
      </w:r>
    </w:p>
    <w:p>
      <w:pPr>
        <w:spacing w:line="4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（3）交易假设：交易假设是假定所有待估资产已经处在交易的过程中，根据待估资产的交易条件等模拟市场进行估价。交易假设是估值得以进行的一个最基本的前提假设。</w:t>
      </w:r>
    </w:p>
    <w:p>
      <w:pPr>
        <w:spacing w:line="4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（二）</w:t>
      </w:r>
      <w:r>
        <w:rPr>
          <w:rFonts w:hint="eastAsia" w:asciiTheme="majorEastAsia" w:hAnsiTheme="majorEastAsia" w:eastAsiaTheme="majorEastAsia"/>
          <w:b/>
          <w:sz w:val="24"/>
        </w:rPr>
        <w:t>一般假设</w:t>
      </w:r>
    </w:p>
    <w:p>
      <w:pPr>
        <w:spacing w:line="4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（1）国家对被评估单位所处行业的有关法律法规和政策在预期无重大变化；</w:t>
      </w:r>
    </w:p>
    <w:p>
      <w:pPr>
        <w:spacing w:line="4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（2）社会经济环境及经济发展除社会公众已知变化外，在预期无其他重大变化；</w:t>
      </w:r>
    </w:p>
    <w:p>
      <w:pPr>
        <w:spacing w:line="4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（3）国家现行银行信贷利率、外汇汇率的变动能保持在合理范围内；</w:t>
      </w:r>
    </w:p>
    <w:p>
      <w:pPr>
        <w:spacing w:line="4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（4）国家目前的税收制度除社会公众已知变化外，无其他重大变化；</w:t>
      </w:r>
    </w:p>
    <w:p>
      <w:pPr>
        <w:spacing w:line="4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（5）无其他人力不可抗拒及不可预测因素的重大不利影响；</w:t>
      </w:r>
    </w:p>
    <w:p>
      <w:pPr>
        <w:spacing w:line="4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（6）被评估单位公司会计政策与核算方法基准日后无重大变化；</w:t>
      </w:r>
    </w:p>
    <w:p>
      <w:pPr>
        <w:spacing w:line="4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（7）本次评估测算各项参数取值均未考虑通货膨胀因素，价格均为评估基准日价值。</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Theme="majorEastAsia" w:hAnsiTheme="majorEastAsia" w:eastAsiaTheme="majorEastAsia"/>
          <w:b/>
          <w:sz w:val="24"/>
        </w:rPr>
      </w:pPr>
      <w:r>
        <w:rPr>
          <w:rFonts w:hint="eastAsia" w:asciiTheme="majorEastAsia" w:hAnsiTheme="majorEastAsia" w:eastAsiaTheme="majorEastAsia"/>
          <w:sz w:val="24"/>
        </w:rPr>
        <w:t>（三）</w:t>
      </w:r>
      <w:r>
        <w:rPr>
          <w:rFonts w:hint="eastAsia" w:asciiTheme="majorEastAsia" w:hAnsiTheme="majorEastAsia" w:eastAsiaTheme="majorEastAsia"/>
          <w:b/>
          <w:sz w:val="24"/>
        </w:rPr>
        <w:t>特殊假设</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Theme="majorEastAsia" w:hAnsiTheme="majorEastAsia" w:eastAsiaTheme="majorEastAsia"/>
          <w:sz w:val="24"/>
        </w:rPr>
      </w:pPr>
      <w:r>
        <w:rPr>
          <w:rFonts w:hint="eastAsia" w:asciiTheme="majorEastAsia" w:hAnsiTheme="majorEastAsia" w:eastAsiaTheme="majorEastAsia"/>
          <w:sz w:val="24"/>
        </w:rPr>
        <w:t>（1）对于本次评估报告中被评估资产的法律描述或法律事项（包括其权属或负担性限制），本机构按准则要求进行了调查。除在工作报告中已有提示以外，假定评估过程中所评资产的权属为良好的和可在市场上进行交易的；同时也不涉及任何留置权、地役权，没有受侵犯或无其他负担性限制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Theme="majorEastAsia" w:hAnsiTheme="majorEastAsia" w:eastAsiaTheme="majorEastAsia"/>
          <w:sz w:val="24"/>
        </w:rPr>
      </w:pPr>
      <w:r>
        <w:rPr>
          <w:rFonts w:hint="eastAsia" w:asciiTheme="majorEastAsia" w:hAnsiTheme="majorEastAsia" w:eastAsiaTheme="majorEastAsia"/>
          <w:sz w:val="24"/>
        </w:rPr>
        <w:t>（2）对于本评估报告中全部或部分价值评估结论所依据而由委托人及其他各方提供的信息资料，本机构只是按照评估程序进行了独立审查。但这些信息资料的真实性、完整性、合法性不做任何保证。</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Theme="majorEastAsia" w:hAnsiTheme="majorEastAsia" w:eastAsiaTheme="majorEastAsia"/>
          <w:sz w:val="24"/>
        </w:rPr>
      </w:pPr>
      <w:r>
        <w:rPr>
          <w:rFonts w:hint="eastAsia" w:asciiTheme="majorEastAsia" w:hAnsiTheme="majorEastAsia" w:eastAsiaTheme="majorEastAsia"/>
          <w:sz w:val="24"/>
        </w:rPr>
        <w:t>（3）对于本评估报告中价值估算所依据的资产使用方所需由有关地方、国家政府机构、私人组织或团体签发的一切执照、使用许可证、同意函或其他法律或行政性授权文件假定已经或可以随时获得或更新。</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Theme="majorEastAsia" w:hAnsiTheme="majorEastAsia" w:eastAsiaTheme="majorEastAsia"/>
          <w:sz w:val="24"/>
        </w:rPr>
      </w:pPr>
      <w:r>
        <w:rPr>
          <w:rFonts w:hint="eastAsia" w:asciiTheme="majorEastAsia" w:hAnsiTheme="majorEastAsia" w:eastAsiaTheme="majorEastAsia"/>
          <w:sz w:val="24"/>
        </w:rPr>
        <w:t>（4）我们对价值的估算是根据评估基准日本地货币购买力作出的。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Theme="majorEastAsia" w:hAnsiTheme="majorEastAsia" w:eastAsiaTheme="majorEastAsia"/>
          <w:sz w:val="24"/>
        </w:rPr>
      </w:pPr>
      <w:r>
        <w:rPr>
          <w:rFonts w:hint="eastAsia" w:asciiTheme="majorEastAsia" w:hAnsiTheme="majorEastAsia" w:eastAsiaTheme="majorEastAsia"/>
          <w:sz w:val="24"/>
        </w:rPr>
        <w:t>（5）本评估报告估算是在假定所有重要的及潜在的可能影响价值分析因素都已在我们与被评估单位之间充分提示的前提下做出的。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Theme="majorEastAsia" w:hAnsiTheme="majorEastAsia" w:eastAsiaTheme="majorEastAsia"/>
          <w:sz w:val="24"/>
        </w:rPr>
      </w:pPr>
      <w:r>
        <w:rPr>
          <w:rFonts w:hint="eastAsia" w:asciiTheme="majorEastAsia" w:hAnsiTheme="majorEastAsia" w:eastAsiaTheme="majorEastAsia"/>
          <w:sz w:val="24"/>
        </w:rPr>
        <w:t>（6）对于人民法院委托司法执行财产处置评估业务，不考虑评估对象被查封以及原有的担保物权和其他优先受偿权情况对评估结论的影响。本次业务是将评估对象视为没有查封、未设立担保物权和其他优先受偿权的财产进行评估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Theme="majorEastAsia" w:hAnsiTheme="majorEastAsia" w:eastAsiaTheme="majorEastAsia"/>
          <w:sz w:val="24"/>
        </w:rPr>
      </w:pPr>
      <w:r>
        <w:rPr>
          <w:rFonts w:hint="eastAsia" w:asciiTheme="majorEastAsia" w:hAnsiTheme="majorEastAsia" w:eastAsiaTheme="majorEastAsia"/>
          <w:sz w:val="24"/>
        </w:rPr>
        <w:t>本次评估结果是在满足上述评估假设条件的情况下成立，若本次评估中遵循的评估假设条件发生变化时，评估结果一般会失效。</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asciiTheme="majorEastAsia" w:hAnsiTheme="majorEastAsia" w:eastAsiaTheme="majorEastAsia"/>
          <w:b/>
          <w:sz w:val="24"/>
        </w:rPr>
      </w:pPr>
      <w:r>
        <w:rPr>
          <w:rFonts w:hint="eastAsia" w:asciiTheme="majorEastAsia" w:hAnsiTheme="majorEastAsia" w:eastAsiaTheme="majorEastAsia"/>
          <w:b/>
          <w:sz w:val="24"/>
        </w:rPr>
        <w:t>十、评估结论</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Theme="majorEastAsia" w:hAnsiTheme="majorEastAsia" w:eastAsiaTheme="majorEastAsia"/>
          <w:sz w:val="18"/>
          <w:szCs w:val="18"/>
        </w:rPr>
      </w:pPr>
      <w:r>
        <w:rPr>
          <w:rFonts w:hint="eastAsia" w:asciiTheme="majorEastAsia" w:hAnsiTheme="majorEastAsia" w:eastAsiaTheme="majorEastAsia"/>
          <w:sz w:val="24"/>
        </w:rPr>
        <w:t>我们在委托人配合下，对评估对象进行了必要的产权查验和实地勘察，对委托评估的资产所涉及的各项数据实施市场调查和询证，并完成了准则要求的评估程序，在此基础上，我们对</w:t>
      </w:r>
      <w:r>
        <w:rPr>
          <w:rFonts w:hint="eastAsia" w:asciiTheme="majorEastAsia" w:hAnsiTheme="majorEastAsia" w:eastAsiaTheme="majorEastAsia"/>
          <w:sz w:val="24"/>
          <w:lang w:eastAsia="zh-CN"/>
        </w:rPr>
        <w:t>辽源市龙山区人民法院司法辅助办公室</w:t>
      </w:r>
      <w:r>
        <w:rPr>
          <w:rFonts w:hint="eastAsia" w:asciiTheme="majorEastAsia" w:hAnsiTheme="majorEastAsia" w:eastAsiaTheme="majorEastAsia"/>
          <w:sz w:val="24"/>
        </w:rPr>
        <w:t>委托评估的资产在评估基准日202</w:t>
      </w:r>
      <w:r>
        <w:rPr>
          <w:rFonts w:hint="eastAsia" w:asciiTheme="majorEastAsia" w:hAnsiTheme="majorEastAsia" w:eastAsiaTheme="majorEastAsia"/>
          <w:sz w:val="24"/>
          <w:lang w:val="en-US" w:eastAsia="zh-CN"/>
        </w:rPr>
        <w:t>2</w:t>
      </w:r>
      <w:r>
        <w:rPr>
          <w:rFonts w:hint="eastAsia" w:asciiTheme="majorEastAsia" w:hAnsiTheme="majorEastAsia" w:eastAsiaTheme="majorEastAsia"/>
          <w:sz w:val="24"/>
        </w:rPr>
        <w:t>年</w:t>
      </w:r>
      <w:r>
        <w:rPr>
          <w:rFonts w:hint="eastAsia" w:asciiTheme="majorEastAsia" w:hAnsiTheme="majorEastAsia" w:eastAsiaTheme="majorEastAsia"/>
          <w:sz w:val="24"/>
          <w:lang w:val="en-US" w:eastAsia="zh-CN"/>
        </w:rPr>
        <w:t>2</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23</w:t>
      </w:r>
      <w:r>
        <w:rPr>
          <w:rFonts w:hint="eastAsia" w:asciiTheme="majorEastAsia" w:hAnsiTheme="majorEastAsia" w:eastAsiaTheme="majorEastAsia"/>
          <w:sz w:val="24"/>
        </w:rPr>
        <w:t>日特定目的下的价值进行分析、估算并发表专业意见。评估值人民币大写：</w:t>
      </w:r>
      <w:r>
        <w:rPr>
          <w:rFonts w:hint="eastAsia" w:asciiTheme="majorEastAsia" w:hAnsiTheme="majorEastAsia" w:eastAsiaTheme="majorEastAsia"/>
          <w:sz w:val="24"/>
          <w:lang w:eastAsia="zh-CN"/>
        </w:rPr>
        <w:t>伍拾捌万叁仟壹佰零叁元叁角贰分</w:t>
      </w:r>
      <w:r>
        <w:rPr>
          <w:rFonts w:hint="eastAsia" w:asciiTheme="majorEastAsia" w:hAnsiTheme="majorEastAsia" w:eastAsiaTheme="majorEastAsia"/>
          <w:sz w:val="24"/>
        </w:rPr>
        <w:t>。</w:t>
      </w:r>
    </w:p>
    <w:p>
      <w:pPr>
        <w:keepNext w:val="0"/>
        <w:keepLines w:val="0"/>
        <w:pageBreakBefore w:val="0"/>
        <w:kinsoku/>
        <w:wordWrap/>
        <w:overflowPunct/>
        <w:topLinePunct w:val="0"/>
        <w:autoSpaceDE/>
        <w:autoSpaceDN/>
        <w:bidi w:val="0"/>
        <w:adjustRightInd/>
        <w:snapToGrid/>
        <w:spacing w:line="360" w:lineRule="auto"/>
        <w:ind w:firstLine="270" w:firstLineChars="150"/>
        <w:jc w:val="righ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单位：人民币元</w:t>
      </w:r>
    </w:p>
    <w:tbl>
      <w:tblPr>
        <w:tblStyle w:val="11"/>
        <w:tblpPr w:leftFromText="180" w:rightFromText="180" w:vertAnchor="text" w:horzAnchor="page" w:tblpX="1662" w:tblpY="165"/>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295"/>
        <w:gridCol w:w="1570"/>
        <w:gridCol w:w="1980"/>
        <w:gridCol w:w="2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spacing w:line="460" w:lineRule="exact"/>
              <w:jc w:val="center"/>
              <w:rPr>
                <w:rFonts w:hint="eastAsia" w:cs="宋体" w:asciiTheme="majorEastAsia" w:hAnsiTheme="majorEastAsia" w:eastAsiaTheme="majorEastAsia"/>
                <w:b/>
                <w:color w:val="auto"/>
                <w:szCs w:val="21"/>
                <w:lang w:eastAsia="zh-CN"/>
              </w:rPr>
            </w:pPr>
            <w:r>
              <w:rPr>
                <w:rFonts w:hint="eastAsia" w:cs="宋体" w:asciiTheme="majorEastAsia" w:hAnsiTheme="majorEastAsia" w:eastAsiaTheme="majorEastAsia"/>
                <w:b/>
                <w:color w:val="auto"/>
                <w:szCs w:val="21"/>
                <w:lang w:eastAsia="zh-CN"/>
              </w:rPr>
              <w:t>序号</w:t>
            </w:r>
          </w:p>
        </w:tc>
        <w:tc>
          <w:tcPr>
            <w:tcW w:w="2295" w:type="dxa"/>
            <w:vAlign w:val="center"/>
          </w:tcPr>
          <w:p>
            <w:pPr>
              <w:spacing w:line="460" w:lineRule="exact"/>
              <w:jc w:val="center"/>
              <w:rPr>
                <w:rFonts w:hint="eastAsia" w:cs="宋体" w:asciiTheme="majorEastAsia" w:hAnsiTheme="majorEastAsia" w:eastAsiaTheme="majorEastAsia"/>
                <w:b/>
                <w:color w:val="auto"/>
                <w:szCs w:val="21"/>
                <w:lang w:eastAsia="zh-CN"/>
              </w:rPr>
            </w:pPr>
            <w:r>
              <w:rPr>
                <w:rFonts w:hint="eastAsia" w:cs="宋体" w:asciiTheme="majorEastAsia" w:hAnsiTheme="majorEastAsia" w:eastAsiaTheme="majorEastAsia"/>
                <w:b/>
                <w:color w:val="auto"/>
                <w:szCs w:val="21"/>
                <w:lang w:eastAsia="zh-CN"/>
              </w:rPr>
              <w:t>项目</w:t>
            </w:r>
          </w:p>
        </w:tc>
        <w:tc>
          <w:tcPr>
            <w:tcW w:w="1570" w:type="dxa"/>
          </w:tcPr>
          <w:p>
            <w:pPr>
              <w:spacing w:line="460" w:lineRule="exact"/>
              <w:jc w:val="center"/>
              <w:rPr>
                <w:rFonts w:hint="eastAsia" w:cs="宋体" w:asciiTheme="majorEastAsia" w:hAnsiTheme="majorEastAsia" w:eastAsiaTheme="majorEastAsia"/>
                <w:b/>
                <w:color w:val="auto"/>
                <w:szCs w:val="21"/>
                <w:lang w:eastAsia="zh-CN"/>
              </w:rPr>
            </w:pPr>
            <w:r>
              <w:rPr>
                <w:rFonts w:hint="eastAsia" w:cs="宋体" w:asciiTheme="majorEastAsia" w:hAnsiTheme="majorEastAsia" w:eastAsiaTheme="majorEastAsia"/>
                <w:b/>
                <w:color w:val="auto"/>
                <w:szCs w:val="21"/>
                <w:lang w:eastAsia="zh-CN"/>
              </w:rPr>
              <w:t>面积</w:t>
            </w:r>
          </w:p>
        </w:tc>
        <w:tc>
          <w:tcPr>
            <w:tcW w:w="1980" w:type="dxa"/>
          </w:tcPr>
          <w:p>
            <w:pPr>
              <w:spacing w:line="460" w:lineRule="exact"/>
              <w:jc w:val="center"/>
              <w:rPr>
                <w:rFonts w:hint="eastAsia" w:cs="宋体" w:asciiTheme="majorEastAsia" w:hAnsiTheme="majorEastAsia" w:eastAsiaTheme="majorEastAsia"/>
                <w:b/>
                <w:color w:val="auto"/>
                <w:szCs w:val="21"/>
                <w:lang w:eastAsia="zh-CN"/>
              </w:rPr>
            </w:pPr>
            <w:r>
              <w:rPr>
                <w:rFonts w:hint="eastAsia" w:cs="宋体" w:asciiTheme="majorEastAsia" w:hAnsiTheme="majorEastAsia" w:eastAsiaTheme="majorEastAsia"/>
                <w:b/>
                <w:color w:val="auto"/>
                <w:szCs w:val="21"/>
                <w:lang w:eastAsia="zh-CN"/>
              </w:rPr>
              <w:t>单价（元/㎡）</w:t>
            </w:r>
          </w:p>
        </w:tc>
        <w:tc>
          <w:tcPr>
            <w:tcW w:w="2095" w:type="dxa"/>
            <w:vAlign w:val="center"/>
          </w:tcPr>
          <w:p>
            <w:pPr>
              <w:spacing w:line="460" w:lineRule="exact"/>
              <w:jc w:val="center"/>
              <w:rPr>
                <w:rFonts w:hint="eastAsia" w:cs="宋体" w:asciiTheme="majorEastAsia" w:hAnsiTheme="majorEastAsia" w:eastAsiaTheme="majorEastAsia"/>
                <w:b/>
                <w:color w:val="auto"/>
                <w:szCs w:val="21"/>
                <w:lang w:eastAsia="zh-CN"/>
              </w:rPr>
            </w:pPr>
            <w:r>
              <w:rPr>
                <w:rFonts w:hint="eastAsia" w:cs="宋体" w:asciiTheme="majorEastAsia" w:hAnsiTheme="majorEastAsia" w:eastAsiaTheme="majorEastAsia"/>
                <w:b/>
                <w:color w:val="auto"/>
                <w:szCs w:val="21"/>
                <w:lang w:eastAsia="zh-CN"/>
              </w:rPr>
              <w:t>评估价值（元）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spacing w:line="460" w:lineRule="exact"/>
              <w:jc w:val="center"/>
              <w:rPr>
                <w:rFonts w:hint="default" w:cs="宋体" w:asciiTheme="majorEastAsia" w:hAnsiTheme="majorEastAsia" w:eastAsiaTheme="majorEastAsia"/>
                <w:b/>
                <w:color w:val="auto"/>
                <w:szCs w:val="21"/>
                <w:lang w:val="en-US" w:eastAsia="zh-CN"/>
              </w:rPr>
            </w:pPr>
            <w:r>
              <w:rPr>
                <w:rFonts w:hint="eastAsia" w:cs="宋体" w:asciiTheme="majorEastAsia" w:hAnsiTheme="majorEastAsia" w:eastAsiaTheme="majorEastAsia"/>
                <w:b/>
                <w:color w:val="auto"/>
                <w:szCs w:val="21"/>
                <w:lang w:val="en-US" w:eastAsia="zh-CN"/>
              </w:rPr>
              <w:t>1</w:t>
            </w:r>
          </w:p>
        </w:tc>
        <w:tc>
          <w:tcPr>
            <w:tcW w:w="2295" w:type="dxa"/>
            <w:vAlign w:val="center"/>
          </w:tcPr>
          <w:p>
            <w:pPr>
              <w:spacing w:line="460" w:lineRule="exact"/>
              <w:jc w:val="center"/>
              <w:rPr>
                <w:rFonts w:hint="default" w:cs="宋体" w:asciiTheme="majorEastAsia" w:hAnsiTheme="majorEastAsia" w:eastAsiaTheme="majorEastAsia"/>
                <w:b/>
                <w:color w:val="auto"/>
                <w:szCs w:val="21"/>
                <w:lang w:val="en-US" w:eastAsia="zh-CN"/>
              </w:rPr>
            </w:pPr>
            <w:r>
              <w:rPr>
                <w:rFonts w:hint="eastAsia" w:cs="宋体" w:asciiTheme="majorEastAsia" w:hAnsiTheme="majorEastAsia" w:eastAsiaTheme="majorEastAsia"/>
                <w:b/>
                <w:color w:val="auto"/>
                <w:szCs w:val="21"/>
                <w:lang w:val="en-US" w:eastAsia="zh-CN"/>
              </w:rPr>
              <w:t>102室</w:t>
            </w:r>
          </w:p>
        </w:tc>
        <w:tc>
          <w:tcPr>
            <w:tcW w:w="1570" w:type="dxa"/>
            <w:vAlign w:val="center"/>
          </w:tcPr>
          <w:p>
            <w:pPr>
              <w:spacing w:line="460" w:lineRule="exact"/>
              <w:jc w:val="center"/>
              <w:rPr>
                <w:rFonts w:hint="default" w:cs="宋体" w:asciiTheme="majorEastAsia" w:hAnsiTheme="majorEastAsia" w:eastAsiaTheme="majorEastAsia"/>
                <w:b/>
                <w:color w:val="auto"/>
                <w:szCs w:val="21"/>
                <w:lang w:val="en-US" w:eastAsia="zh-CN"/>
              </w:rPr>
            </w:pPr>
            <w:r>
              <w:rPr>
                <w:rFonts w:hint="eastAsia" w:cs="宋体" w:asciiTheme="majorEastAsia" w:hAnsiTheme="majorEastAsia" w:eastAsiaTheme="majorEastAsia"/>
                <w:b/>
                <w:color w:val="auto"/>
                <w:szCs w:val="21"/>
                <w:lang w:val="en-US" w:eastAsia="zh-CN"/>
              </w:rPr>
              <w:t>48.29㎡</w:t>
            </w:r>
          </w:p>
        </w:tc>
        <w:tc>
          <w:tcPr>
            <w:tcW w:w="1980" w:type="dxa"/>
            <w:vAlign w:val="center"/>
          </w:tcPr>
          <w:p>
            <w:pPr>
              <w:spacing w:line="460" w:lineRule="exact"/>
              <w:jc w:val="center"/>
              <w:rPr>
                <w:rFonts w:hint="default" w:cs="宋体" w:asciiTheme="majorEastAsia" w:hAnsiTheme="majorEastAsia" w:eastAsiaTheme="majorEastAsia"/>
                <w:b/>
                <w:color w:val="auto"/>
                <w:szCs w:val="21"/>
                <w:lang w:val="en-US" w:eastAsia="zh-CN"/>
              </w:rPr>
            </w:pPr>
            <w:r>
              <w:rPr>
                <w:rFonts w:hint="eastAsia" w:cs="宋体" w:asciiTheme="majorEastAsia" w:hAnsiTheme="majorEastAsia" w:eastAsiaTheme="majorEastAsia"/>
                <w:b/>
                <w:color w:val="auto"/>
                <w:szCs w:val="21"/>
                <w:lang w:val="en-US" w:eastAsia="zh-CN"/>
              </w:rPr>
              <w:t>3,308.00</w:t>
            </w:r>
          </w:p>
        </w:tc>
        <w:tc>
          <w:tcPr>
            <w:tcW w:w="2095" w:type="dxa"/>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kern w:val="2"/>
                <w:sz w:val="20"/>
                <w:szCs w:val="20"/>
                <w:u w:val="none"/>
                <w:lang w:val="en-US" w:eastAsia="zh-CN" w:bidi="ar-SA"/>
              </w:rPr>
            </w:pPr>
            <w:r>
              <w:rPr>
                <w:rFonts w:hint="eastAsia" w:cs="宋体" w:asciiTheme="majorEastAsia" w:hAnsiTheme="majorEastAsia" w:eastAsiaTheme="majorEastAsia"/>
                <w:b/>
                <w:color w:val="auto"/>
                <w:szCs w:val="21"/>
                <w:lang w:val="en-US" w:eastAsia="zh-CN"/>
              </w:rPr>
              <w:t>159</w:t>
            </w:r>
            <w:r>
              <w:rPr>
                <w:rFonts w:hint="default" w:cs="宋体" w:asciiTheme="majorEastAsia" w:hAnsiTheme="majorEastAsia" w:eastAsiaTheme="majorEastAsia"/>
                <w:b/>
                <w:color w:val="auto"/>
                <w:szCs w:val="21"/>
                <w:lang w:val="en-US" w:eastAsia="zh-CN"/>
              </w:rPr>
              <w:t>,</w:t>
            </w:r>
            <w:r>
              <w:rPr>
                <w:rFonts w:hint="eastAsia" w:cs="宋体" w:asciiTheme="majorEastAsia" w:hAnsiTheme="majorEastAsia" w:eastAsiaTheme="majorEastAsia"/>
                <w:b/>
                <w:color w:val="auto"/>
                <w:szCs w:val="21"/>
                <w:lang w:val="en-US" w:eastAsia="zh-CN"/>
              </w:rPr>
              <w:t>743</w:t>
            </w:r>
            <w:r>
              <w:rPr>
                <w:rFonts w:hint="default" w:cs="宋体" w:asciiTheme="majorEastAsia" w:hAnsiTheme="majorEastAsia" w:eastAsiaTheme="majorEastAsia"/>
                <w:b/>
                <w:color w:val="auto"/>
                <w:szCs w:val="21"/>
                <w:lang w:val="en-US" w:eastAsia="zh-CN"/>
              </w:rPr>
              <w:t>.</w:t>
            </w:r>
            <w:r>
              <w:rPr>
                <w:rFonts w:hint="eastAsia" w:cs="宋体" w:asciiTheme="majorEastAsia" w:hAnsiTheme="majorEastAsia" w:eastAsiaTheme="majorEastAsia"/>
                <w:b/>
                <w:color w:val="auto"/>
                <w:szCs w:val="21"/>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spacing w:line="460" w:lineRule="exact"/>
              <w:jc w:val="center"/>
              <w:rPr>
                <w:rFonts w:hint="default" w:cs="宋体" w:asciiTheme="majorEastAsia" w:hAnsiTheme="majorEastAsia" w:eastAsiaTheme="majorEastAsia"/>
                <w:b/>
                <w:color w:val="auto"/>
                <w:szCs w:val="21"/>
                <w:lang w:val="en-US" w:eastAsia="zh-CN"/>
              </w:rPr>
            </w:pPr>
            <w:r>
              <w:rPr>
                <w:rFonts w:hint="eastAsia" w:cs="宋体" w:asciiTheme="majorEastAsia" w:hAnsiTheme="majorEastAsia" w:eastAsiaTheme="majorEastAsia"/>
                <w:b/>
                <w:color w:val="auto"/>
                <w:szCs w:val="21"/>
                <w:lang w:val="en-US" w:eastAsia="zh-CN"/>
              </w:rPr>
              <w:t>2</w:t>
            </w:r>
          </w:p>
        </w:tc>
        <w:tc>
          <w:tcPr>
            <w:tcW w:w="2295" w:type="dxa"/>
            <w:vAlign w:val="center"/>
          </w:tcPr>
          <w:p>
            <w:pPr>
              <w:spacing w:line="460" w:lineRule="exact"/>
              <w:jc w:val="center"/>
              <w:rPr>
                <w:rFonts w:hint="default" w:cs="宋体" w:asciiTheme="majorEastAsia" w:hAnsiTheme="majorEastAsia" w:eastAsiaTheme="majorEastAsia"/>
                <w:b/>
                <w:color w:val="auto"/>
                <w:szCs w:val="21"/>
                <w:lang w:val="en-US" w:eastAsia="zh-CN"/>
              </w:rPr>
            </w:pPr>
            <w:r>
              <w:rPr>
                <w:rFonts w:hint="eastAsia" w:cs="宋体" w:asciiTheme="majorEastAsia" w:hAnsiTheme="majorEastAsia" w:eastAsiaTheme="majorEastAsia"/>
                <w:b/>
                <w:color w:val="auto"/>
                <w:szCs w:val="21"/>
                <w:lang w:val="en-US" w:eastAsia="zh-CN"/>
              </w:rPr>
              <w:t>201室</w:t>
            </w:r>
          </w:p>
        </w:tc>
        <w:tc>
          <w:tcPr>
            <w:tcW w:w="1570" w:type="dxa"/>
            <w:vAlign w:val="center"/>
          </w:tcPr>
          <w:p>
            <w:pPr>
              <w:spacing w:line="460" w:lineRule="exact"/>
              <w:jc w:val="center"/>
              <w:rPr>
                <w:rFonts w:hint="default" w:cs="宋体" w:asciiTheme="majorEastAsia" w:hAnsiTheme="majorEastAsia" w:eastAsiaTheme="majorEastAsia"/>
                <w:b/>
                <w:color w:val="auto"/>
                <w:szCs w:val="21"/>
                <w:lang w:val="en-US" w:eastAsia="zh-CN"/>
              </w:rPr>
            </w:pPr>
            <w:r>
              <w:rPr>
                <w:rFonts w:hint="eastAsia" w:cs="宋体" w:asciiTheme="majorEastAsia" w:hAnsiTheme="majorEastAsia" w:eastAsiaTheme="majorEastAsia"/>
                <w:b/>
                <w:color w:val="auto"/>
                <w:szCs w:val="21"/>
                <w:lang w:val="en-US" w:eastAsia="zh-CN"/>
              </w:rPr>
              <w:t>115.20㎡</w:t>
            </w:r>
          </w:p>
        </w:tc>
        <w:tc>
          <w:tcPr>
            <w:tcW w:w="1980" w:type="dxa"/>
            <w:vAlign w:val="center"/>
          </w:tcPr>
          <w:p>
            <w:pPr>
              <w:spacing w:line="460" w:lineRule="exact"/>
              <w:jc w:val="center"/>
              <w:rPr>
                <w:rFonts w:hint="default" w:cs="宋体" w:asciiTheme="majorEastAsia" w:hAnsiTheme="majorEastAsia" w:eastAsiaTheme="majorEastAsia"/>
                <w:b/>
                <w:color w:val="auto"/>
                <w:szCs w:val="21"/>
                <w:lang w:val="en-US" w:eastAsia="zh-CN"/>
              </w:rPr>
            </w:pPr>
            <w:r>
              <w:rPr>
                <w:rFonts w:hint="eastAsia" w:cs="宋体" w:asciiTheme="majorEastAsia" w:hAnsiTheme="majorEastAsia" w:eastAsiaTheme="majorEastAsia"/>
                <w:b/>
                <w:color w:val="auto"/>
                <w:szCs w:val="21"/>
                <w:lang w:val="en-US" w:eastAsia="zh-CN"/>
              </w:rPr>
              <w:t>3,675.00</w:t>
            </w:r>
          </w:p>
        </w:tc>
        <w:tc>
          <w:tcPr>
            <w:tcW w:w="2095" w:type="dxa"/>
            <w:vAlign w:val="center"/>
          </w:tcPr>
          <w:p>
            <w:pPr>
              <w:keepNext w:val="0"/>
              <w:keepLines w:val="0"/>
              <w:widowControl/>
              <w:suppressLineNumbers w:val="0"/>
              <w:jc w:val="center"/>
              <w:textAlignment w:val="center"/>
              <w:rPr>
                <w:rFonts w:hint="default" w:cs="宋体" w:asciiTheme="majorEastAsia" w:hAnsiTheme="majorEastAsia" w:eastAsiaTheme="majorEastAsia"/>
                <w:b/>
                <w:color w:val="auto"/>
                <w:szCs w:val="21"/>
                <w:lang w:val="en-US" w:eastAsia="zh-CN"/>
              </w:rPr>
            </w:pPr>
            <w:r>
              <w:rPr>
                <w:rFonts w:hint="eastAsia" w:cs="宋体" w:asciiTheme="majorEastAsia" w:hAnsiTheme="majorEastAsia" w:eastAsiaTheme="majorEastAsia"/>
                <w:b/>
                <w:color w:val="auto"/>
                <w:szCs w:val="21"/>
                <w:lang w:val="en-US" w:eastAsia="zh-CN"/>
              </w:rPr>
              <w:t>423,360.00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110" w:type="dxa"/>
            <w:gridSpan w:val="2"/>
            <w:vAlign w:val="center"/>
          </w:tcPr>
          <w:p>
            <w:pPr>
              <w:spacing w:line="460" w:lineRule="exact"/>
              <w:jc w:val="center"/>
              <w:rPr>
                <w:rFonts w:hint="eastAsia" w:cs="宋体" w:asciiTheme="majorEastAsia" w:hAnsiTheme="majorEastAsia" w:eastAsiaTheme="majorEastAsia"/>
                <w:b/>
                <w:color w:val="auto"/>
                <w:szCs w:val="21"/>
                <w:lang w:val="en-US" w:eastAsia="zh-CN"/>
              </w:rPr>
            </w:pPr>
            <w:r>
              <w:rPr>
                <w:rFonts w:hint="eastAsia" w:cs="宋体" w:asciiTheme="majorEastAsia" w:hAnsiTheme="majorEastAsia" w:eastAsiaTheme="majorEastAsia"/>
                <w:b/>
                <w:color w:val="auto"/>
                <w:szCs w:val="21"/>
                <w:lang w:val="en-US" w:eastAsia="zh-CN"/>
              </w:rPr>
              <w:t>合计</w:t>
            </w:r>
          </w:p>
        </w:tc>
        <w:tc>
          <w:tcPr>
            <w:tcW w:w="1570" w:type="dxa"/>
            <w:vAlign w:val="center"/>
          </w:tcPr>
          <w:p>
            <w:pPr>
              <w:spacing w:line="460" w:lineRule="exact"/>
              <w:jc w:val="center"/>
              <w:rPr>
                <w:rFonts w:hint="default" w:cs="宋体" w:asciiTheme="majorEastAsia" w:hAnsiTheme="majorEastAsia" w:eastAsiaTheme="majorEastAsia"/>
                <w:b/>
                <w:color w:val="auto"/>
                <w:szCs w:val="21"/>
                <w:lang w:val="en-US" w:eastAsia="zh-CN"/>
              </w:rPr>
            </w:pPr>
            <w:r>
              <w:rPr>
                <w:rFonts w:hint="eastAsia" w:cs="宋体" w:asciiTheme="majorEastAsia" w:hAnsiTheme="majorEastAsia" w:eastAsiaTheme="majorEastAsia"/>
                <w:b/>
                <w:color w:val="auto"/>
                <w:szCs w:val="21"/>
                <w:lang w:val="en-US" w:eastAsia="zh-CN"/>
              </w:rPr>
              <w:t>163.49㎡</w:t>
            </w:r>
          </w:p>
        </w:tc>
        <w:tc>
          <w:tcPr>
            <w:tcW w:w="1980" w:type="dxa"/>
            <w:vAlign w:val="center"/>
          </w:tcPr>
          <w:p>
            <w:pPr>
              <w:spacing w:line="460" w:lineRule="exact"/>
              <w:jc w:val="center"/>
              <w:rPr>
                <w:rFonts w:hint="eastAsia" w:cs="宋体" w:asciiTheme="majorEastAsia" w:hAnsiTheme="majorEastAsia" w:eastAsiaTheme="majorEastAsia"/>
                <w:b/>
                <w:color w:val="auto"/>
                <w:szCs w:val="21"/>
                <w:lang w:val="en-US" w:eastAsia="zh-CN"/>
              </w:rPr>
            </w:pPr>
          </w:p>
        </w:tc>
        <w:tc>
          <w:tcPr>
            <w:tcW w:w="2095" w:type="dxa"/>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kern w:val="2"/>
                <w:sz w:val="20"/>
                <w:szCs w:val="20"/>
                <w:u w:val="none"/>
                <w:lang w:val="en-US" w:eastAsia="zh-CN" w:bidi="ar-SA"/>
              </w:rPr>
            </w:pPr>
            <w:r>
              <w:rPr>
                <w:rFonts w:hint="eastAsia" w:cs="宋体" w:asciiTheme="majorEastAsia" w:hAnsiTheme="majorEastAsia" w:eastAsiaTheme="majorEastAsia"/>
                <w:b/>
                <w:color w:val="auto"/>
                <w:szCs w:val="21"/>
                <w:lang w:val="en-US" w:eastAsia="zh-CN"/>
              </w:rPr>
              <w:t>583</w:t>
            </w:r>
            <w:r>
              <w:rPr>
                <w:rFonts w:hint="default" w:cs="宋体" w:asciiTheme="majorEastAsia" w:hAnsiTheme="majorEastAsia" w:eastAsiaTheme="majorEastAsia"/>
                <w:b/>
                <w:color w:val="auto"/>
                <w:szCs w:val="21"/>
                <w:lang w:val="en-US" w:eastAsia="zh-CN"/>
              </w:rPr>
              <w:t>,</w:t>
            </w:r>
            <w:r>
              <w:rPr>
                <w:rFonts w:hint="eastAsia" w:cs="宋体" w:asciiTheme="majorEastAsia" w:hAnsiTheme="majorEastAsia" w:eastAsiaTheme="majorEastAsia"/>
                <w:b/>
                <w:color w:val="auto"/>
                <w:szCs w:val="21"/>
                <w:lang w:val="en-US" w:eastAsia="zh-CN"/>
              </w:rPr>
              <w:t>103</w:t>
            </w:r>
            <w:r>
              <w:rPr>
                <w:rFonts w:hint="default" w:cs="宋体" w:asciiTheme="majorEastAsia" w:hAnsiTheme="majorEastAsia" w:eastAsiaTheme="majorEastAsia"/>
                <w:b/>
                <w:color w:val="auto"/>
                <w:szCs w:val="21"/>
                <w:lang w:val="en-US" w:eastAsia="zh-CN"/>
              </w:rPr>
              <w:t>.</w:t>
            </w:r>
            <w:r>
              <w:rPr>
                <w:rFonts w:hint="eastAsia" w:cs="宋体" w:asciiTheme="majorEastAsia" w:hAnsiTheme="majorEastAsia" w:eastAsiaTheme="majorEastAsia"/>
                <w:b/>
                <w:color w:val="auto"/>
                <w:szCs w:val="21"/>
                <w:lang w:val="en-US" w:eastAsia="zh-CN"/>
              </w:rPr>
              <w:t>32</w:t>
            </w:r>
          </w:p>
        </w:tc>
      </w:tr>
    </w:tbl>
    <w:p>
      <w:pPr>
        <w:spacing w:line="440" w:lineRule="exact"/>
        <w:ind w:firstLine="472" w:firstLineChars="196"/>
        <w:jc w:val="left"/>
        <w:rPr>
          <w:rFonts w:asciiTheme="majorEastAsia" w:hAnsiTheme="majorEastAsia" w:eastAsiaTheme="majorEastAsia"/>
          <w:b/>
          <w:sz w:val="24"/>
        </w:rPr>
      </w:pPr>
      <w:r>
        <w:rPr>
          <w:rFonts w:hint="eastAsia" w:asciiTheme="majorEastAsia" w:hAnsiTheme="majorEastAsia" w:eastAsiaTheme="majorEastAsia"/>
          <w:b/>
          <w:sz w:val="24"/>
        </w:rPr>
        <w:t>十一、特别事项说明</w:t>
      </w:r>
    </w:p>
    <w:p>
      <w:pPr>
        <w:spacing w:line="440" w:lineRule="exact"/>
        <w:ind w:firstLine="470" w:firstLineChars="196"/>
        <w:jc w:val="left"/>
        <w:rPr>
          <w:rFonts w:asciiTheme="majorEastAsia" w:hAnsiTheme="majorEastAsia" w:eastAsiaTheme="majorEastAsia"/>
          <w:b/>
          <w:sz w:val="24"/>
        </w:rPr>
      </w:pPr>
      <w:r>
        <w:rPr>
          <w:rFonts w:hint="eastAsia" w:asciiTheme="majorEastAsia" w:hAnsiTheme="majorEastAsia" w:eastAsiaTheme="majorEastAsia"/>
          <w:color w:val="000000"/>
          <w:kern w:val="0"/>
          <w:sz w:val="24"/>
        </w:rPr>
        <w:t>以下为在评估过程中已发现可能影响评估结论但非</w:t>
      </w:r>
      <w:r>
        <w:rPr>
          <w:rFonts w:hint="eastAsia" w:asciiTheme="majorEastAsia" w:hAnsiTheme="majorEastAsia" w:eastAsiaTheme="majorEastAsia"/>
          <w:color w:val="000000"/>
          <w:kern w:val="0"/>
          <w:sz w:val="24"/>
          <w:lang w:eastAsia="zh-CN"/>
        </w:rPr>
        <w:t>评估专业人员</w:t>
      </w:r>
      <w:r>
        <w:rPr>
          <w:rFonts w:hint="eastAsia" w:asciiTheme="majorEastAsia" w:hAnsiTheme="majorEastAsia" w:eastAsiaTheme="majorEastAsia"/>
          <w:color w:val="000000"/>
          <w:kern w:val="0"/>
          <w:sz w:val="24"/>
        </w:rPr>
        <w:t>执业水平和能力所能评定估算的有关事项(包括但不限于)：</w:t>
      </w:r>
    </w:p>
    <w:p>
      <w:pPr>
        <w:spacing w:line="440" w:lineRule="exact"/>
        <w:ind w:firstLine="470" w:firstLineChars="196"/>
        <w:jc w:val="left"/>
        <w:rPr>
          <w:rFonts w:hint="eastAsia" w:asciiTheme="majorEastAsia" w:hAnsiTheme="majorEastAsia" w:eastAsiaTheme="majorEastAsia"/>
          <w:sz w:val="24"/>
        </w:rPr>
      </w:pPr>
      <w:r>
        <w:rPr>
          <w:rFonts w:hint="eastAsia" w:asciiTheme="majorEastAsia" w:hAnsiTheme="majorEastAsia" w:eastAsiaTheme="majorEastAsia"/>
          <w:sz w:val="24"/>
        </w:rPr>
        <w:t>1.本评估报告只能用于载明的评估目的，不可挪作他用。因使用不当造成的后果与签字资产评估师及其所在的评估机构无关。</w:t>
      </w:r>
    </w:p>
    <w:p>
      <w:pPr>
        <w:spacing w:line="440" w:lineRule="exact"/>
        <w:ind w:firstLine="470" w:firstLineChars="196"/>
        <w:jc w:val="left"/>
        <w:rPr>
          <w:rFonts w:hint="eastAsia" w:asciiTheme="majorEastAsia" w:hAnsiTheme="majorEastAsia" w:eastAsiaTheme="majorEastAsia"/>
          <w:sz w:val="24"/>
        </w:rPr>
      </w:pPr>
      <w:r>
        <w:rPr>
          <w:rFonts w:hint="eastAsia" w:asciiTheme="majorEastAsia" w:hAnsiTheme="majorEastAsia" w:eastAsiaTheme="majorEastAsia"/>
          <w:sz w:val="24"/>
        </w:rPr>
        <w:t>2.本报告是在独立、客观、公正的原则下做出的，</w:t>
      </w:r>
      <w:r>
        <w:rPr>
          <w:rFonts w:hint="eastAsia" w:asciiTheme="majorEastAsia" w:hAnsiTheme="majorEastAsia" w:eastAsiaTheme="majorEastAsia"/>
          <w:sz w:val="24"/>
          <w:lang w:eastAsia="zh-CN"/>
        </w:rPr>
        <w:t>评估专业人员</w:t>
      </w:r>
      <w:r>
        <w:rPr>
          <w:rFonts w:hint="eastAsia" w:asciiTheme="majorEastAsia" w:hAnsiTheme="majorEastAsia" w:eastAsiaTheme="majorEastAsia"/>
          <w:sz w:val="24"/>
        </w:rPr>
        <w:t>在评估过程中恪守职业道德和规范。</w:t>
      </w:r>
    </w:p>
    <w:p>
      <w:pPr>
        <w:keepNext w:val="0"/>
        <w:keepLines w:val="0"/>
        <w:pageBreakBefore w:val="0"/>
        <w:widowControl w:val="0"/>
        <w:kinsoku/>
        <w:wordWrap/>
        <w:overflowPunct/>
        <w:topLinePunct w:val="0"/>
        <w:autoSpaceDE/>
        <w:autoSpaceDN/>
        <w:bidi w:val="0"/>
        <w:adjustRightInd/>
        <w:snapToGrid/>
        <w:spacing w:line="460" w:lineRule="exact"/>
        <w:ind w:firstLine="470" w:firstLineChars="196"/>
        <w:jc w:val="left"/>
        <w:textAlignment w:val="auto"/>
        <w:rPr>
          <w:rFonts w:hint="eastAsia" w:asciiTheme="majorEastAsia" w:hAnsiTheme="majorEastAsia" w:eastAsiaTheme="majorEastAsia"/>
          <w:sz w:val="24"/>
        </w:rPr>
      </w:pPr>
      <w:r>
        <w:rPr>
          <w:rFonts w:hint="eastAsia" w:asciiTheme="majorEastAsia" w:hAnsiTheme="majorEastAsia" w:eastAsiaTheme="majorEastAsia"/>
          <w:sz w:val="24"/>
        </w:rPr>
        <w:t>3.本报告所称“评估价值”是指所评估资产价值在评估基准日之状况和外部经济环境前提下，为本报告书所列明的目的而提出的专业意见。</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ajorEastAsia" w:hAnsiTheme="majorEastAsia" w:eastAsiaTheme="majorEastAsia"/>
          <w:sz w:val="24"/>
        </w:rPr>
      </w:pPr>
      <w:r>
        <w:rPr>
          <w:rFonts w:hint="eastAsia" w:asciiTheme="majorEastAsia" w:hAnsiTheme="majorEastAsia" w:eastAsiaTheme="majorEastAsia"/>
          <w:sz w:val="24"/>
          <w:lang w:val="en-US" w:eastAsia="zh-CN"/>
        </w:rPr>
        <w:t>4</w:t>
      </w:r>
      <w:r>
        <w:rPr>
          <w:rFonts w:hint="eastAsia" w:asciiTheme="majorEastAsia" w:hAnsiTheme="majorEastAsia" w:eastAsiaTheme="majorEastAsia"/>
          <w:sz w:val="24"/>
        </w:rPr>
        <w:t>.本评估结果是对</w:t>
      </w:r>
      <w:r>
        <w:rPr>
          <w:rFonts w:hint="eastAsia" w:asciiTheme="majorEastAsia" w:hAnsiTheme="majorEastAsia" w:eastAsiaTheme="majorEastAsia"/>
          <w:sz w:val="24"/>
          <w:lang w:eastAsia="zh-CN"/>
        </w:rPr>
        <w:t>二〇二二年二月二十三日</w:t>
      </w:r>
      <w:r>
        <w:rPr>
          <w:rFonts w:hint="eastAsia" w:asciiTheme="majorEastAsia" w:hAnsiTheme="majorEastAsia" w:eastAsiaTheme="majorEastAsia"/>
          <w:sz w:val="24"/>
        </w:rPr>
        <w:t>这一评估基准日所评估资产价值的客观公允反映，我评估所对这一基准日后该资产价值发生重大变化不负责任。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ajorEastAsia" w:hAnsiTheme="majorEastAsia" w:eastAsiaTheme="majorEastAsia"/>
          <w:sz w:val="24"/>
        </w:rPr>
      </w:pPr>
      <w:r>
        <w:rPr>
          <w:rFonts w:hint="eastAsia" w:asciiTheme="majorEastAsia" w:hAnsiTheme="majorEastAsia" w:eastAsiaTheme="majorEastAsia"/>
          <w:sz w:val="24"/>
          <w:lang w:val="en-US" w:eastAsia="zh-CN"/>
        </w:rPr>
        <w:t>5</w:t>
      </w:r>
      <w:r>
        <w:rPr>
          <w:rFonts w:hint="eastAsia" w:asciiTheme="majorEastAsia" w:hAnsiTheme="majorEastAsia" w:eastAsiaTheme="majorEastAsia"/>
          <w:sz w:val="24"/>
        </w:rPr>
        <w:t>.本次评估已进行现场勘查，现场勘查过程中案件委托人</w:t>
      </w:r>
      <w:r>
        <w:rPr>
          <w:rFonts w:hint="eastAsia" w:asciiTheme="majorEastAsia" w:hAnsiTheme="majorEastAsia" w:eastAsiaTheme="majorEastAsia"/>
          <w:sz w:val="24"/>
          <w:lang w:eastAsia="zh-CN"/>
        </w:rPr>
        <w:t>及申请人</w:t>
      </w:r>
      <w:r>
        <w:rPr>
          <w:rFonts w:hint="eastAsia" w:asciiTheme="majorEastAsia" w:hAnsiTheme="majorEastAsia" w:eastAsiaTheme="majorEastAsia"/>
          <w:sz w:val="24"/>
        </w:rPr>
        <w:t>到</w:t>
      </w:r>
      <w:r>
        <w:rPr>
          <w:rFonts w:hint="eastAsia" w:asciiTheme="majorEastAsia" w:hAnsiTheme="majorEastAsia" w:eastAsiaTheme="majorEastAsia"/>
          <w:sz w:val="24"/>
          <w:lang w:eastAsia="zh-CN"/>
        </w:rPr>
        <w:t>达</w:t>
      </w:r>
      <w:r>
        <w:rPr>
          <w:rFonts w:hint="eastAsia" w:asciiTheme="majorEastAsia" w:hAnsiTheme="majorEastAsia" w:eastAsiaTheme="majorEastAsia"/>
          <w:sz w:val="24"/>
        </w:rPr>
        <w:t>现场，并在现场勘查记录上签字确认</w:t>
      </w:r>
      <w:r>
        <w:rPr>
          <w:rFonts w:hint="eastAsia" w:asciiTheme="majorEastAsia" w:hAnsiTheme="majorEastAsia" w:eastAsiaTheme="majorEastAsia"/>
          <w:sz w:val="24"/>
          <w:lang w:eastAsia="zh-CN"/>
        </w:rPr>
        <w:t>，被申请人未到达现场</w:t>
      </w:r>
      <w:r>
        <w:rPr>
          <w:rFonts w:hint="eastAsia" w:asciiTheme="majorEastAsia" w:hAnsiTheme="majorEastAsia" w:eastAsiaTheme="majorEastAsia"/>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56" w:firstLineChars="200"/>
        <w:textAlignment w:val="auto"/>
        <w:rPr>
          <w:rFonts w:hint="eastAsia" w:asciiTheme="majorEastAsia" w:hAnsiTheme="majorEastAsia" w:eastAsiaTheme="majorEastAsia"/>
          <w:spacing w:val="-6"/>
          <w:sz w:val="24"/>
          <w:lang w:val="en-US" w:eastAsia="zh-CN"/>
        </w:rPr>
      </w:pPr>
      <w:r>
        <w:rPr>
          <w:rFonts w:hint="eastAsia" w:asciiTheme="majorEastAsia" w:hAnsiTheme="majorEastAsia" w:eastAsiaTheme="majorEastAsia"/>
          <w:spacing w:val="-6"/>
          <w:sz w:val="24"/>
          <w:lang w:val="en-US" w:eastAsia="zh-CN"/>
        </w:rPr>
        <w:t>6.截止至评估基准日，102室、201室住宅用房处于在用状态。本报告评估结论不考虑评估对象抵押、查封、租赁等因素对价值的影响。</w:t>
      </w:r>
    </w:p>
    <w:p>
      <w:pPr>
        <w:keepNext w:val="0"/>
        <w:keepLines w:val="0"/>
        <w:pageBreakBefore w:val="0"/>
        <w:widowControl w:val="0"/>
        <w:kinsoku/>
        <w:wordWrap/>
        <w:overflowPunct/>
        <w:topLinePunct w:val="0"/>
        <w:autoSpaceDE/>
        <w:autoSpaceDN/>
        <w:bidi w:val="0"/>
        <w:adjustRightInd/>
        <w:snapToGrid/>
        <w:spacing w:line="440" w:lineRule="exact"/>
        <w:ind w:firstLine="456" w:firstLineChars="200"/>
        <w:textAlignment w:val="auto"/>
        <w:rPr>
          <w:rFonts w:hint="eastAsia" w:asciiTheme="majorEastAsia" w:hAnsiTheme="majorEastAsia" w:eastAsiaTheme="majorEastAsia"/>
          <w:spacing w:val="-6"/>
          <w:sz w:val="24"/>
          <w:lang w:val="en-US" w:eastAsia="zh-CN"/>
        </w:rPr>
      </w:pPr>
      <w:r>
        <w:rPr>
          <w:rFonts w:hint="eastAsia" w:asciiTheme="majorEastAsia" w:hAnsiTheme="majorEastAsia" w:eastAsiaTheme="majorEastAsia"/>
          <w:spacing w:val="-6"/>
          <w:sz w:val="24"/>
          <w:lang w:val="en-US" w:eastAsia="zh-CN"/>
        </w:rPr>
        <w:t>7.本次司法执行财产处置评估业务中，在评定估算形成评估结论的过程中不考虑评估费、拍卖费、诉讼费、律师费以及交易税费等财产处置费用对评估结论的影响。</w:t>
      </w:r>
    </w:p>
    <w:p>
      <w:pPr>
        <w:keepNext w:val="0"/>
        <w:keepLines w:val="0"/>
        <w:pageBreakBefore w:val="0"/>
        <w:widowControl w:val="0"/>
        <w:kinsoku/>
        <w:wordWrap/>
        <w:overflowPunct/>
        <w:topLinePunct w:val="0"/>
        <w:autoSpaceDE/>
        <w:autoSpaceDN/>
        <w:bidi w:val="0"/>
        <w:adjustRightInd/>
        <w:snapToGrid/>
        <w:spacing w:line="440" w:lineRule="exact"/>
        <w:ind w:firstLine="456" w:firstLineChars="200"/>
        <w:textAlignment w:val="auto"/>
        <w:rPr>
          <w:rFonts w:hint="eastAsia" w:asciiTheme="majorEastAsia" w:hAnsiTheme="majorEastAsia" w:eastAsiaTheme="majorEastAsia"/>
          <w:spacing w:val="-6"/>
          <w:sz w:val="24"/>
          <w:lang w:val="en-US" w:eastAsia="zh-CN"/>
        </w:rPr>
      </w:pPr>
      <w:r>
        <w:rPr>
          <w:rFonts w:hint="eastAsia" w:asciiTheme="majorEastAsia" w:hAnsiTheme="majorEastAsia" w:eastAsiaTheme="majorEastAsia"/>
          <w:spacing w:val="-6"/>
          <w:sz w:val="24"/>
          <w:lang w:val="en-US" w:eastAsia="zh-CN"/>
        </w:rPr>
        <w:t>8.本次估价对象权属依据为委托人提供的辽源市龙山区人民法院司法辅助办公室《司法鉴定委托书》、《对外委托案件移送表》、《不动产查询结果证明》。</w:t>
      </w:r>
    </w:p>
    <w:p>
      <w:pPr>
        <w:keepNext w:val="0"/>
        <w:keepLines w:val="0"/>
        <w:pageBreakBefore w:val="0"/>
        <w:widowControl w:val="0"/>
        <w:kinsoku/>
        <w:wordWrap/>
        <w:overflowPunct/>
        <w:topLinePunct w:val="0"/>
        <w:autoSpaceDE/>
        <w:autoSpaceDN/>
        <w:bidi w:val="0"/>
        <w:adjustRightInd/>
        <w:snapToGrid/>
        <w:spacing w:line="440" w:lineRule="exact"/>
        <w:ind w:firstLine="456" w:firstLineChars="200"/>
        <w:textAlignment w:val="auto"/>
        <w:rPr>
          <w:rFonts w:hint="default" w:asciiTheme="majorEastAsia" w:hAnsiTheme="majorEastAsia" w:eastAsiaTheme="majorEastAsia"/>
          <w:spacing w:val="-6"/>
          <w:sz w:val="24"/>
          <w:lang w:val="en-US" w:eastAsia="zh-CN"/>
        </w:rPr>
      </w:pPr>
      <w:r>
        <w:rPr>
          <w:rFonts w:hint="eastAsia" w:asciiTheme="majorEastAsia" w:hAnsiTheme="majorEastAsia" w:eastAsiaTheme="majorEastAsia"/>
          <w:spacing w:val="-6"/>
          <w:sz w:val="24"/>
          <w:lang w:val="en-US" w:eastAsia="zh-CN"/>
        </w:rPr>
        <w:t>9.业主将102室、201室内部连通，私改为营业用房，但本次评估根据《不动产查询结果证明》确定该房屋法定用途为住宅。如有异议，请重新委托评估。</w:t>
      </w:r>
    </w:p>
    <w:p>
      <w:pPr>
        <w:spacing w:line="440" w:lineRule="exact"/>
        <w:ind w:firstLine="482" w:firstLineChars="200"/>
        <w:rPr>
          <w:rFonts w:asciiTheme="majorEastAsia" w:hAnsiTheme="majorEastAsia" w:eastAsiaTheme="majorEastAsia"/>
          <w:b/>
          <w:sz w:val="24"/>
        </w:rPr>
      </w:pPr>
      <w:r>
        <w:rPr>
          <w:rFonts w:hint="eastAsia" w:asciiTheme="majorEastAsia" w:hAnsiTheme="majorEastAsia" w:eastAsiaTheme="majorEastAsia"/>
          <w:b/>
          <w:sz w:val="24"/>
        </w:rPr>
        <w:t>评估报告使用者充分注意以上事项及瑕疵对评估报告结果产生的影响！</w:t>
      </w:r>
    </w:p>
    <w:p>
      <w:pPr>
        <w:spacing w:line="440" w:lineRule="exact"/>
        <w:ind w:firstLine="482" w:firstLineChars="200"/>
        <w:jc w:val="left"/>
        <w:rPr>
          <w:rFonts w:asciiTheme="majorEastAsia" w:hAnsiTheme="majorEastAsia" w:eastAsiaTheme="majorEastAsia"/>
          <w:b/>
          <w:sz w:val="24"/>
        </w:rPr>
      </w:pPr>
      <w:r>
        <w:rPr>
          <w:rFonts w:hint="eastAsia" w:asciiTheme="majorEastAsia" w:hAnsiTheme="majorEastAsia" w:eastAsiaTheme="majorEastAsia"/>
          <w:b/>
          <w:sz w:val="24"/>
        </w:rPr>
        <w:t>十二、评估报告使用限制说明</w:t>
      </w:r>
    </w:p>
    <w:p>
      <w:pPr>
        <w:pStyle w:val="25"/>
        <w:tabs>
          <w:tab w:val="left" w:pos="480"/>
        </w:tabs>
        <w:spacing w:line="360" w:lineRule="auto"/>
        <w:ind w:firstLine="480" w:firstLineChars="200"/>
        <w:rPr>
          <w:rFonts w:cs="仿宋_GB2312" w:asciiTheme="majorEastAsia" w:hAnsiTheme="majorEastAsia" w:eastAsiaTheme="majorEastAsia"/>
          <w:snapToGrid w:val="0"/>
          <w:color w:val="000000"/>
          <w:spacing w:val="0"/>
          <w:sz w:val="24"/>
          <w:szCs w:val="24"/>
        </w:rPr>
      </w:pPr>
      <w:r>
        <w:rPr>
          <w:rFonts w:hint="eastAsia" w:cs="仿宋_GB2312" w:asciiTheme="majorEastAsia" w:hAnsiTheme="majorEastAsia" w:eastAsiaTheme="majorEastAsia"/>
          <w:snapToGrid w:val="0"/>
          <w:color w:val="000000"/>
          <w:spacing w:val="0"/>
          <w:sz w:val="24"/>
          <w:szCs w:val="24"/>
        </w:rPr>
        <w:t>1、评估结果是反映评估对象在本次评估目的下，根据公开市场原则确定的现行公允价值，没有考虑将来可能承担抵押、担保事宜以及特殊交易方式可能追加付出对评估价值的影响，也未考虑国家宏观经济政策发生变化以及遇有自然力和其它不可抗力对资产价格影响，当前述评估目的等条件发生变化时，评估结果一般会失效。</w:t>
      </w:r>
    </w:p>
    <w:p>
      <w:pPr>
        <w:pStyle w:val="25"/>
        <w:tabs>
          <w:tab w:val="left" w:pos="480"/>
        </w:tabs>
        <w:spacing w:line="360" w:lineRule="auto"/>
        <w:ind w:firstLine="480" w:firstLineChars="200"/>
        <w:rPr>
          <w:rFonts w:hint="eastAsia" w:cs="仿宋_GB2312" w:asciiTheme="majorEastAsia" w:hAnsiTheme="majorEastAsia" w:eastAsiaTheme="majorEastAsia"/>
          <w:snapToGrid w:val="0"/>
          <w:color w:val="000000"/>
          <w:spacing w:val="0"/>
          <w:sz w:val="24"/>
          <w:szCs w:val="24"/>
        </w:rPr>
      </w:pPr>
      <w:r>
        <w:rPr>
          <w:rFonts w:hint="eastAsia" w:cs="仿宋_GB2312" w:asciiTheme="majorEastAsia" w:hAnsiTheme="majorEastAsia" w:eastAsiaTheme="majorEastAsia"/>
          <w:snapToGrid w:val="0"/>
          <w:color w:val="000000"/>
          <w:spacing w:val="0"/>
          <w:sz w:val="24"/>
          <w:szCs w:val="24"/>
        </w:rPr>
        <w:t>2、在评估有效期以内，若资产价格标准及数量发生变化，并对资产评估值产生明显影响时，委托人应及时聘请评估机构重新确定评估值。</w:t>
      </w:r>
    </w:p>
    <w:p>
      <w:pPr>
        <w:pStyle w:val="25"/>
        <w:tabs>
          <w:tab w:val="left" w:pos="480"/>
        </w:tabs>
        <w:spacing w:line="360" w:lineRule="auto"/>
        <w:ind w:firstLine="480" w:firstLineChars="200"/>
        <w:rPr>
          <w:rFonts w:hint="eastAsia" w:cs="仿宋_GB2312" w:asciiTheme="majorEastAsia" w:hAnsiTheme="majorEastAsia" w:eastAsiaTheme="majorEastAsia"/>
          <w:snapToGrid w:val="0"/>
          <w:color w:val="000000"/>
          <w:spacing w:val="0"/>
          <w:sz w:val="24"/>
          <w:szCs w:val="24"/>
        </w:rPr>
      </w:pPr>
      <w:r>
        <w:rPr>
          <w:rFonts w:hint="eastAsia" w:cs="仿宋_GB2312" w:asciiTheme="majorEastAsia" w:hAnsiTheme="majorEastAsia" w:eastAsiaTheme="majorEastAsia"/>
          <w:snapToGrid w:val="0"/>
          <w:color w:val="000000"/>
          <w:spacing w:val="0"/>
          <w:sz w:val="24"/>
          <w:szCs w:val="24"/>
        </w:rPr>
        <w:t>3、除非事先已有明确的书面约定，我们仅为委托人就本报告所载范围内的资产做价值评估，我们的责任和义务也仅限于价值评估，对本次评估所对应的经济行为的相关问题。</w:t>
      </w:r>
    </w:p>
    <w:p>
      <w:pPr>
        <w:pStyle w:val="25"/>
        <w:tabs>
          <w:tab w:val="left" w:pos="480"/>
        </w:tabs>
        <w:spacing w:line="360" w:lineRule="auto"/>
        <w:ind w:firstLine="480" w:firstLineChars="200"/>
        <w:rPr>
          <w:rFonts w:hint="eastAsia" w:cs="仿宋_GB2312" w:asciiTheme="majorEastAsia" w:hAnsiTheme="majorEastAsia" w:eastAsiaTheme="majorEastAsia"/>
          <w:snapToGrid w:val="0"/>
          <w:color w:val="000000"/>
          <w:spacing w:val="0"/>
          <w:sz w:val="24"/>
          <w:szCs w:val="24"/>
        </w:rPr>
      </w:pPr>
      <w:r>
        <w:rPr>
          <w:rFonts w:hint="eastAsia" w:cs="仿宋_GB2312" w:asciiTheme="majorEastAsia" w:hAnsiTheme="majorEastAsia" w:eastAsiaTheme="majorEastAsia"/>
          <w:snapToGrid w:val="0"/>
          <w:color w:val="000000"/>
          <w:spacing w:val="0"/>
          <w:sz w:val="24"/>
          <w:szCs w:val="24"/>
        </w:rPr>
        <w:t>4、对委估资产的现场勘察仅限于资产的外观和使用状况，除非另有协议外，资产评估师及相关</w:t>
      </w:r>
      <w:r>
        <w:rPr>
          <w:rFonts w:hint="eastAsia" w:cs="仿宋_GB2312" w:asciiTheme="majorEastAsia" w:hAnsiTheme="majorEastAsia" w:eastAsiaTheme="majorEastAsia"/>
          <w:snapToGrid w:val="0"/>
          <w:color w:val="000000"/>
          <w:spacing w:val="0"/>
          <w:sz w:val="24"/>
          <w:szCs w:val="24"/>
          <w:lang w:eastAsia="zh-CN"/>
        </w:rPr>
        <w:t>评估专业人员</w:t>
      </w:r>
      <w:r>
        <w:rPr>
          <w:rFonts w:hint="eastAsia" w:cs="仿宋_GB2312" w:asciiTheme="majorEastAsia" w:hAnsiTheme="majorEastAsia" w:eastAsiaTheme="majorEastAsia"/>
          <w:snapToGrid w:val="0"/>
          <w:color w:val="000000"/>
          <w:spacing w:val="0"/>
          <w:sz w:val="24"/>
          <w:szCs w:val="24"/>
        </w:rPr>
        <w:t>不担负对委估资产质量进行调查的责任，也不担负其被遮盖、未暴露或难于接触到部分进行检测的责任。</w:t>
      </w:r>
    </w:p>
    <w:p>
      <w:pPr>
        <w:pStyle w:val="25"/>
        <w:keepNext w:val="0"/>
        <w:keepLines w:val="0"/>
        <w:pageBreakBefore w:val="0"/>
        <w:widowControl w:val="0"/>
        <w:tabs>
          <w:tab w:val="left" w:pos="480"/>
        </w:tabs>
        <w:kinsoku/>
        <w:wordWrap/>
        <w:overflowPunct/>
        <w:topLinePunct w:val="0"/>
        <w:autoSpaceDE/>
        <w:autoSpaceDN/>
        <w:bidi w:val="0"/>
        <w:adjustRightInd/>
        <w:snapToGrid/>
        <w:spacing w:line="440" w:lineRule="exact"/>
        <w:ind w:firstLine="480" w:firstLineChars="200"/>
        <w:textAlignment w:val="auto"/>
        <w:rPr>
          <w:rFonts w:hint="eastAsia" w:cs="仿宋_GB2312" w:asciiTheme="majorEastAsia" w:hAnsiTheme="majorEastAsia" w:eastAsiaTheme="majorEastAsia"/>
          <w:snapToGrid w:val="0"/>
          <w:color w:val="000000"/>
          <w:spacing w:val="0"/>
          <w:sz w:val="24"/>
          <w:szCs w:val="24"/>
        </w:rPr>
      </w:pPr>
      <w:r>
        <w:rPr>
          <w:rFonts w:hint="eastAsia" w:cs="仿宋_GB2312" w:asciiTheme="majorEastAsia" w:hAnsiTheme="majorEastAsia" w:eastAsiaTheme="majorEastAsia"/>
          <w:snapToGrid w:val="0"/>
          <w:color w:val="000000"/>
          <w:spacing w:val="0"/>
          <w:sz w:val="24"/>
          <w:szCs w:val="24"/>
        </w:rPr>
        <w:t>5、委托评估的资产可能存在影响本次资产评估价值的瑕疵事项，若委托人委托时未作特殊说明，而</w:t>
      </w:r>
      <w:r>
        <w:rPr>
          <w:rFonts w:hint="eastAsia" w:cs="仿宋_GB2312" w:asciiTheme="majorEastAsia" w:hAnsiTheme="majorEastAsia" w:eastAsiaTheme="majorEastAsia"/>
          <w:snapToGrid w:val="0"/>
          <w:color w:val="000000"/>
          <w:spacing w:val="0"/>
          <w:sz w:val="24"/>
          <w:szCs w:val="24"/>
          <w:lang w:eastAsia="zh-CN"/>
        </w:rPr>
        <w:t>评估专业人员</w:t>
      </w:r>
      <w:r>
        <w:rPr>
          <w:rFonts w:hint="eastAsia" w:cs="仿宋_GB2312" w:asciiTheme="majorEastAsia" w:hAnsiTheme="majorEastAsia" w:eastAsiaTheme="majorEastAsia"/>
          <w:snapToGrid w:val="0"/>
          <w:color w:val="000000"/>
          <w:spacing w:val="0"/>
          <w:sz w:val="24"/>
          <w:szCs w:val="24"/>
        </w:rPr>
        <w:t>根据专业经验一般又不能获悉的情况下，本评估机构和</w:t>
      </w:r>
      <w:r>
        <w:rPr>
          <w:rFonts w:hint="eastAsia" w:cs="仿宋_GB2312" w:asciiTheme="majorEastAsia" w:hAnsiTheme="majorEastAsia" w:eastAsiaTheme="majorEastAsia"/>
          <w:snapToGrid w:val="0"/>
          <w:color w:val="000000"/>
          <w:spacing w:val="0"/>
          <w:sz w:val="24"/>
          <w:szCs w:val="24"/>
          <w:lang w:eastAsia="zh-CN"/>
        </w:rPr>
        <w:t>评估专业人员</w:t>
      </w:r>
      <w:r>
        <w:rPr>
          <w:rFonts w:hint="eastAsia" w:cs="仿宋_GB2312" w:asciiTheme="majorEastAsia" w:hAnsiTheme="majorEastAsia" w:eastAsiaTheme="majorEastAsia"/>
          <w:snapToGrid w:val="0"/>
          <w:color w:val="000000"/>
          <w:spacing w:val="0"/>
          <w:sz w:val="24"/>
          <w:szCs w:val="24"/>
        </w:rPr>
        <w:t>不承担相关责任。</w:t>
      </w:r>
    </w:p>
    <w:p>
      <w:pPr>
        <w:pStyle w:val="25"/>
        <w:keepNext w:val="0"/>
        <w:keepLines w:val="0"/>
        <w:pageBreakBefore w:val="0"/>
        <w:widowControl w:val="0"/>
        <w:tabs>
          <w:tab w:val="left" w:pos="480"/>
        </w:tabs>
        <w:kinsoku/>
        <w:wordWrap/>
        <w:overflowPunct/>
        <w:topLinePunct w:val="0"/>
        <w:autoSpaceDE/>
        <w:autoSpaceDN/>
        <w:bidi w:val="0"/>
        <w:adjustRightInd/>
        <w:snapToGrid/>
        <w:spacing w:line="440" w:lineRule="exact"/>
        <w:ind w:firstLine="480" w:firstLineChars="200"/>
        <w:textAlignment w:val="auto"/>
        <w:rPr>
          <w:rFonts w:hint="eastAsia" w:cs="仿宋_GB2312" w:asciiTheme="majorEastAsia" w:hAnsiTheme="majorEastAsia" w:eastAsiaTheme="majorEastAsia"/>
          <w:snapToGrid w:val="0"/>
          <w:color w:val="000000"/>
          <w:spacing w:val="0"/>
          <w:sz w:val="24"/>
          <w:szCs w:val="24"/>
        </w:rPr>
      </w:pPr>
      <w:r>
        <w:rPr>
          <w:rFonts w:hint="eastAsia" w:cs="仿宋_GB2312" w:asciiTheme="majorEastAsia" w:hAnsiTheme="majorEastAsia" w:eastAsiaTheme="majorEastAsia"/>
          <w:snapToGrid w:val="0"/>
          <w:color w:val="000000"/>
          <w:spacing w:val="0"/>
          <w:sz w:val="24"/>
          <w:szCs w:val="24"/>
        </w:rPr>
        <w:t>6、本次评估结论是本评估机构出具的，受本机构</w:t>
      </w:r>
      <w:r>
        <w:rPr>
          <w:rFonts w:hint="eastAsia" w:cs="仿宋_GB2312" w:asciiTheme="majorEastAsia" w:hAnsiTheme="majorEastAsia" w:eastAsiaTheme="majorEastAsia"/>
          <w:snapToGrid w:val="0"/>
          <w:color w:val="000000"/>
          <w:spacing w:val="0"/>
          <w:sz w:val="24"/>
          <w:szCs w:val="24"/>
          <w:lang w:eastAsia="zh-CN"/>
        </w:rPr>
        <w:t>评估专业人员</w:t>
      </w:r>
      <w:r>
        <w:rPr>
          <w:rFonts w:hint="eastAsia" w:cs="仿宋_GB2312" w:asciiTheme="majorEastAsia" w:hAnsiTheme="majorEastAsia" w:eastAsiaTheme="majorEastAsia"/>
          <w:snapToGrid w:val="0"/>
          <w:color w:val="000000"/>
          <w:spacing w:val="0"/>
          <w:sz w:val="24"/>
          <w:szCs w:val="24"/>
        </w:rPr>
        <w:t>的执业水平和能力的影响。</w:t>
      </w:r>
    </w:p>
    <w:p>
      <w:pPr>
        <w:pStyle w:val="25"/>
        <w:keepNext w:val="0"/>
        <w:keepLines w:val="0"/>
        <w:pageBreakBefore w:val="0"/>
        <w:widowControl w:val="0"/>
        <w:tabs>
          <w:tab w:val="left" w:pos="480"/>
        </w:tabs>
        <w:kinsoku/>
        <w:wordWrap/>
        <w:overflowPunct/>
        <w:topLinePunct w:val="0"/>
        <w:autoSpaceDE/>
        <w:autoSpaceDN/>
        <w:bidi w:val="0"/>
        <w:adjustRightInd/>
        <w:snapToGrid/>
        <w:spacing w:line="440" w:lineRule="exact"/>
        <w:ind w:firstLine="480" w:firstLineChars="200"/>
        <w:textAlignment w:val="auto"/>
        <w:rPr>
          <w:rFonts w:hint="eastAsia" w:cs="仿宋_GB2312" w:asciiTheme="majorEastAsia" w:hAnsiTheme="majorEastAsia" w:eastAsiaTheme="majorEastAsia"/>
          <w:snapToGrid w:val="0"/>
          <w:color w:val="000000"/>
          <w:spacing w:val="0"/>
          <w:sz w:val="24"/>
          <w:szCs w:val="24"/>
        </w:rPr>
      </w:pPr>
      <w:r>
        <w:rPr>
          <w:rFonts w:hint="eastAsia" w:cs="仿宋_GB2312" w:asciiTheme="majorEastAsia" w:hAnsiTheme="majorEastAsia" w:eastAsiaTheme="majorEastAsia"/>
          <w:snapToGrid w:val="0"/>
          <w:color w:val="000000"/>
          <w:spacing w:val="0"/>
          <w:sz w:val="24"/>
          <w:szCs w:val="24"/>
        </w:rPr>
        <w:t>7、本评估结论根据上述原则、依据、方法、前提得出的，因此只有在上述原则、依据、方法、前提存在的条件下成立。本报告仅为委托人拟司法执行财产的处置价值提供参考意见，不作其他目的使用，用于其他目的无效。法律、法规另有规定的除外。</w:t>
      </w:r>
    </w:p>
    <w:p>
      <w:pPr>
        <w:pStyle w:val="25"/>
        <w:keepNext w:val="0"/>
        <w:keepLines w:val="0"/>
        <w:pageBreakBefore w:val="0"/>
        <w:widowControl w:val="0"/>
        <w:tabs>
          <w:tab w:val="left" w:pos="480"/>
        </w:tabs>
        <w:kinsoku/>
        <w:wordWrap/>
        <w:overflowPunct/>
        <w:topLinePunct w:val="0"/>
        <w:autoSpaceDE/>
        <w:autoSpaceDN/>
        <w:bidi w:val="0"/>
        <w:adjustRightInd/>
        <w:snapToGrid/>
        <w:spacing w:line="440" w:lineRule="exact"/>
        <w:ind w:firstLine="480" w:firstLineChars="200"/>
        <w:textAlignment w:val="auto"/>
        <w:rPr>
          <w:rFonts w:hint="eastAsia" w:cs="仿宋_GB2312" w:asciiTheme="majorEastAsia" w:hAnsiTheme="majorEastAsia" w:eastAsiaTheme="majorEastAsia"/>
          <w:snapToGrid w:val="0"/>
          <w:color w:val="000000"/>
          <w:spacing w:val="0"/>
          <w:sz w:val="24"/>
          <w:szCs w:val="24"/>
        </w:rPr>
      </w:pPr>
      <w:r>
        <w:rPr>
          <w:rFonts w:hint="eastAsia" w:cs="仿宋_GB2312" w:asciiTheme="majorEastAsia" w:hAnsiTheme="majorEastAsia" w:eastAsiaTheme="majorEastAsia"/>
          <w:snapToGrid w:val="0"/>
          <w:color w:val="000000"/>
          <w:spacing w:val="0"/>
          <w:sz w:val="24"/>
          <w:szCs w:val="24"/>
        </w:rPr>
        <w:t>8、本评估结论仅供委托人、产权持有人及法律法规规定的其他评估报告使用人作为本次评估目的使用和送交资产评估行业协会质量检查使用，评估报告书的使用权归委托人所有，未经委托人许可，评估机构不得随意向他人提供或公开，不得见诸于公开媒体。由于委托人、产权持有人及法律法规规定的其他评估报告使用人不当使用评估报告所造成的后果，本评估机构不承担任何责任。</w:t>
      </w:r>
    </w:p>
    <w:p>
      <w:pPr>
        <w:pStyle w:val="25"/>
        <w:keepNext w:val="0"/>
        <w:keepLines w:val="0"/>
        <w:pageBreakBefore w:val="0"/>
        <w:widowControl w:val="0"/>
        <w:tabs>
          <w:tab w:val="left" w:pos="480"/>
        </w:tabs>
        <w:kinsoku/>
        <w:wordWrap/>
        <w:overflowPunct/>
        <w:topLinePunct w:val="0"/>
        <w:autoSpaceDE/>
        <w:autoSpaceDN/>
        <w:bidi w:val="0"/>
        <w:adjustRightInd/>
        <w:snapToGrid/>
        <w:spacing w:line="440" w:lineRule="exact"/>
        <w:ind w:firstLine="480" w:firstLineChars="200"/>
        <w:textAlignment w:val="auto"/>
        <w:rPr>
          <w:rFonts w:hint="eastAsia" w:cs="仿宋_GB2312" w:asciiTheme="majorEastAsia" w:hAnsiTheme="majorEastAsia" w:eastAsiaTheme="majorEastAsia"/>
          <w:snapToGrid w:val="0"/>
          <w:color w:val="000000"/>
          <w:spacing w:val="0"/>
          <w:sz w:val="24"/>
          <w:szCs w:val="24"/>
        </w:rPr>
      </w:pPr>
      <w:r>
        <w:rPr>
          <w:rFonts w:hint="eastAsia" w:cs="仿宋_GB2312" w:asciiTheme="majorEastAsia" w:hAnsiTheme="majorEastAsia" w:eastAsiaTheme="majorEastAsia"/>
          <w:snapToGrid w:val="0"/>
          <w:color w:val="000000"/>
          <w:spacing w:val="0"/>
          <w:sz w:val="24"/>
          <w:szCs w:val="24"/>
        </w:rPr>
        <w:t>9、资产评估报告使用人应当正确理解评估结论。评估结论不等同于评估对象可实现价格，评估结论不应当被认为是对评估对象可实现价格的保证。</w:t>
      </w:r>
    </w:p>
    <w:p>
      <w:pPr>
        <w:pStyle w:val="25"/>
        <w:keepNext w:val="0"/>
        <w:keepLines w:val="0"/>
        <w:pageBreakBefore w:val="0"/>
        <w:widowControl w:val="0"/>
        <w:tabs>
          <w:tab w:val="left" w:pos="480"/>
        </w:tabs>
        <w:kinsoku/>
        <w:wordWrap/>
        <w:overflowPunct/>
        <w:topLinePunct w:val="0"/>
        <w:autoSpaceDE/>
        <w:autoSpaceDN/>
        <w:bidi w:val="0"/>
        <w:adjustRightInd/>
        <w:snapToGrid/>
        <w:spacing w:line="440" w:lineRule="exact"/>
        <w:ind w:firstLine="480" w:firstLineChars="200"/>
        <w:textAlignment w:val="auto"/>
        <w:rPr>
          <w:rFonts w:hint="eastAsia" w:cs="仿宋_GB2312" w:asciiTheme="majorEastAsia" w:hAnsiTheme="majorEastAsia" w:eastAsiaTheme="majorEastAsia"/>
          <w:snapToGrid w:val="0"/>
          <w:color w:val="000000"/>
          <w:spacing w:val="0"/>
          <w:sz w:val="24"/>
          <w:szCs w:val="24"/>
        </w:rPr>
      </w:pPr>
      <w:r>
        <w:rPr>
          <w:rFonts w:hint="eastAsia" w:cs="仿宋_GB2312" w:asciiTheme="majorEastAsia" w:hAnsiTheme="majorEastAsia" w:eastAsiaTheme="majorEastAsia"/>
          <w:snapToGrid w:val="0"/>
          <w:color w:val="000000"/>
          <w:spacing w:val="0"/>
          <w:sz w:val="24"/>
          <w:szCs w:val="24"/>
        </w:rPr>
        <w:t>10、本报告书评估结论有效期限为一年，即自评估基准日</w:t>
      </w:r>
      <w:r>
        <w:rPr>
          <w:rFonts w:hint="eastAsia" w:cs="仿宋_GB2312" w:asciiTheme="majorEastAsia" w:hAnsiTheme="majorEastAsia" w:eastAsiaTheme="majorEastAsia"/>
          <w:snapToGrid w:val="0"/>
          <w:color w:val="000000"/>
          <w:spacing w:val="0"/>
          <w:sz w:val="24"/>
          <w:szCs w:val="24"/>
          <w:lang w:eastAsia="zh-CN"/>
        </w:rPr>
        <w:t>202</w:t>
      </w:r>
      <w:r>
        <w:rPr>
          <w:rFonts w:hint="eastAsia" w:cs="仿宋_GB2312" w:asciiTheme="majorEastAsia" w:hAnsiTheme="majorEastAsia" w:eastAsiaTheme="majorEastAsia"/>
          <w:snapToGrid w:val="0"/>
          <w:color w:val="000000"/>
          <w:spacing w:val="0"/>
          <w:sz w:val="24"/>
          <w:szCs w:val="24"/>
          <w:lang w:val="en-US" w:eastAsia="zh-CN"/>
        </w:rPr>
        <w:t>2</w:t>
      </w:r>
      <w:r>
        <w:rPr>
          <w:rFonts w:hint="eastAsia" w:cs="仿宋_GB2312" w:asciiTheme="majorEastAsia" w:hAnsiTheme="majorEastAsia" w:eastAsiaTheme="majorEastAsia"/>
          <w:snapToGrid w:val="0"/>
          <w:color w:val="000000"/>
          <w:spacing w:val="0"/>
          <w:sz w:val="24"/>
          <w:szCs w:val="24"/>
          <w:lang w:eastAsia="zh-CN"/>
        </w:rPr>
        <w:t>年</w:t>
      </w:r>
      <w:r>
        <w:rPr>
          <w:rFonts w:hint="eastAsia" w:cs="仿宋_GB2312" w:asciiTheme="majorEastAsia" w:hAnsiTheme="majorEastAsia" w:eastAsiaTheme="majorEastAsia"/>
          <w:snapToGrid w:val="0"/>
          <w:color w:val="000000"/>
          <w:spacing w:val="0"/>
          <w:sz w:val="24"/>
          <w:szCs w:val="24"/>
          <w:lang w:val="en-US" w:eastAsia="zh-CN"/>
        </w:rPr>
        <w:t>2</w:t>
      </w:r>
      <w:r>
        <w:rPr>
          <w:rFonts w:hint="eastAsia" w:cs="仿宋_GB2312" w:asciiTheme="majorEastAsia" w:hAnsiTheme="majorEastAsia" w:eastAsiaTheme="majorEastAsia"/>
          <w:snapToGrid w:val="0"/>
          <w:color w:val="000000"/>
          <w:spacing w:val="0"/>
          <w:sz w:val="24"/>
          <w:szCs w:val="24"/>
          <w:lang w:eastAsia="zh-CN"/>
        </w:rPr>
        <w:t>月</w:t>
      </w:r>
      <w:r>
        <w:rPr>
          <w:rFonts w:hint="eastAsia" w:cs="仿宋_GB2312" w:asciiTheme="majorEastAsia" w:hAnsiTheme="majorEastAsia" w:eastAsiaTheme="majorEastAsia"/>
          <w:snapToGrid w:val="0"/>
          <w:color w:val="000000"/>
          <w:spacing w:val="0"/>
          <w:sz w:val="24"/>
          <w:szCs w:val="24"/>
          <w:lang w:val="en-US" w:eastAsia="zh-CN"/>
        </w:rPr>
        <w:t>23</w:t>
      </w:r>
      <w:r>
        <w:rPr>
          <w:rFonts w:hint="eastAsia" w:cs="仿宋_GB2312" w:asciiTheme="majorEastAsia" w:hAnsiTheme="majorEastAsia" w:eastAsiaTheme="majorEastAsia"/>
          <w:snapToGrid w:val="0"/>
          <w:color w:val="000000"/>
          <w:spacing w:val="0"/>
          <w:sz w:val="24"/>
          <w:szCs w:val="24"/>
          <w:lang w:eastAsia="zh-CN"/>
        </w:rPr>
        <w:t>日</w:t>
      </w:r>
      <w:r>
        <w:rPr>
          <w:rFonts w:hint="eastAsia" w:cs="仿宋_GB2312" w:asciiTheme="majorEastAsia" w:hAnsiTheme="majorEastAsia" w:eastAsiaTheme="majorEastAsia"/>
          <w:snapToGrid w:val="0"/>
          <w:color w:val="000000"/>
          <w:spacing w:val="0"/>
          <w:sz w:val="24"/>
          <w:szCs w:val="24"/>
        </w:rPr>
        <w:t>起至</w:t>
      </w:r>
      <w:r>
        <w:rPr>
          <w:rFonts w:hint="eastAsia" w:cs="仿宋_GB2312" w:asciiTheme="majorEastAsia" w:hAnsiTheme="majorEastAsia" w:eastAsiaTheme="majorEastAsia"/>
          <w:snapToGrid w:val="0"/>
          <w:color w:val="000000"/>
          <w:spacing w:val="0"/>
          <w:sz w:val="24"/>
          <w:szCs w:val="24"/>
          <w:lang w:eastAsia="zh-CN"/>
        </w:rPr>
        <w:t>202</w:t>
      </w:r>
      <w:r>
        <w:rPr>
          <w:rFonts w:hint="eastAsia" w:cs="仿宋_GB2312" w:asciiTheme="majorEastAsia" w:hAnsiTheme="majorEastAsia" w:eastAsiaTheme="majorEastAsia"/>
          <w:snapToGrid w:val="0"/>
          <w:color w:val="000000"/>
          <w:spacing w:val="0"/>
          <w:sz w:val="24"/>
          <w:szCs w:val="24"/>
          <w:lang w:val="en-US" w:eastAsia="zh-CN"/>
        </w:rPr>
        <w:t>3</w:t>
      </w:r>
      <w:r>
        <w:rPr>
          <w:rFonts w:hint="eastAsia" w:cs="仿宋_GB2312" w:asciiTheme="majorEastAsia" w:hAnsiTheme="majorEastAsia" w:eastAsiaTheme="majorEastAsia"/>
          <w:snapToGrid w:val="0"/>
          <w:color w:val="000000"/>
          <w:spacing w:val="0"/>
          <w:sz w:val="24"/>
          <w:szCs w:val="24"/>
          <w:lang w:eastAsia="zh-CN"/>
        </w:rPr>
        <w:t>年</w:t>
      </w:r>
      <w:r>
        <w:rPr>
          <w:rFonts w:hint="eastAsia" w:cs="仿宋_GB2312" w:asciiTheme="majorEastAsia" w:hAnsiTheme="majorEastAsia" w:eastAsiaTheme="majorEastAsia"/>
          <w:snapToGrid w:val="0"/>
          <w:color w:val="000000"/>
          <w:spacing w:val="0"/>
          <w:sz w:val="24"/>
          <w:szCs w:val="24"/>
          <w:lang w:val="en-US" w:eastAsia="zh-CN"/>
        </w:rPr>
        <w:t>2</w:t>
      </w:r>
      <w:r>
        <w:rPr>
          <w:rFonts w:hint="eastAsia" w:cs="仿宋_GB2312" w:asciiTheme="majorEastAsia" w:hAnsiTheme="majorEastAsia" w:eastAsiaTheme="majorEastAsia"/>
          <w:snapToGrid w:val="0"/>
          <w:color w:val="000000"/>
          <w:spacing w:val="0"/>
          <w:sz w:val="24"/>
          <w:szCs w:val="24"/>
          <w:lang w:eastAsia="zh-CN"/>
        </w:rPr>
        <w:t>月</w:t>
      </w:r>
      <w:r>
        <w:rPr>
          <w:rFonts w:hint="eastAsia" w:cs="仿宋_GB2312" w:asciiTheme="majorEastAsia" w:hAnsiTheme="majorEastAsia" w:eastAsiaTheme="majorEastAsia"/>
          <w:snapToGrid w:val="0"/>
          <w:color w:val="000000"/>
          <w:spacing w:val="0"/>
          <w:sz w:val="24"/>
          <w:szCs w:val="24"/>
          <w:lang w:val="en-US" w:eastAsia="zh-CN"/>
        </w:rPr>
        <w:t>22</w:t>
      </w:r>
      <w:r>
        <w:rPr>
          <w:rFonts w:hint="eastAsia" w:cs="仿宋_GB2312" w:asciiTheme="majorEastAsia" w:hAnsiTheme="majorEastAsia" w:eastAsiaTheme="majorEastAsia"/>
          <w:snapToGrid w:val="0"/>
          <w:color w:val="000000"/>
          <w:spacing w:val="0"/>
          <w:sz w:val="24"/>
          <w:szCs w:val="24"/>
          <w:lang w:eastAsia="zh-CN"/>
        </w:rPr>
        <w:t>日</w:t>
      </w:r>
      <w:r>
        <w:rPr>
          <w:rFonts w:hint="eastAsia" w:cs="仿宋_GB2312" w:asciiTheme="majorEastAsia" w:hAnsiTheme="majorEastAsia" w:eastAsiaTheme="majorEastAsia"/>
          <w:snapToGrid w:val="0"/>
          <w:color w:val="000000"/>
          <w:spacing w:val="0"/>
          <w:sz w:val="24"/>
          <w:szCs w:val="24"/>
        </w:rPr>
        <w:t>止。</w:t>
      </w:r>
    </w:p>
    <w:p>
      <w:pPr>
        <w:spacing w:line="440" w:lineRule="exact"/>
        <w:ind w:firstLine="482" w:firstLineChars="200"/>
        <w:jc w:val="left"/>
        <w:rPr>
          <w:rFonts w:asciiTheme="majorEastAsia" w:hAnsiTheme="majorEastAsia" w:eastAsiaTheme="majorEastAsia"/>
          <w:sz w:val="24"/>
        </w:rPr>
      </w:pPr>
      <w:r>
        <w:rPr>
          <w:rFonts w:hint="eastAsia" w:asciiTheme="majorEastAsia" w:hAnsiTheme="majorEastAsia" w:eastAsiaTheme="majorEastAsia"/>
          <w:b/>
          <w:sz w:val="24"/>
        </w:rPr>
        <w:t>十三、评估报告日</w:t>
      </w:r>
    </w:p>
    <w:p>
      <w:pPr>
        <w:tabs>
          <w:tab w:val="left" w:pos="0"/>
          <w:tab w:val="left" w:pos="11988"/>
        </w:tabs>
        <w:spacing w:line="440" w:lineRule="exact"/>
        <w:ind w:firstLine="480" w:firstLineChars="200"/>
        <w:jc w:val="left"/>
        <w:rPr>
          <w:rFonts w:hint="eastAsia" w:asciiTheme="majorEastAsia" w:hAnsiTheme="majorEastAsia" w:eastAsiaTheme="majorEastAsia"/>
          <w:b/>
          <w:sz w:val="24"/>
        </w:rPr>
      </w:pPr>
      <w:r>
        <w:rPr>
          <w:rFonts w:hint="eastAsia" w:asciiTheme="majorEastAsia" w:hAnsiTheme="majorEastAsia" w:eastAsiaTheme="majorEastAsia"/>
          <w:kern w:val="0"/>
          <w:sz w:val="24"/>
        </w:rPr>
        <w:t>评估报告载明的评估报告日为资产评估师形成最终专业意见的日期，本次评估报告的出具日期为</w:t>
      </w:r>
      <w:r>
        <w:rPr>
          <w:rFonts w:hint="eastAsia" w:asciiTheme="majorEastAsia" w:hAnsiTheme="majorEastAsia" w:eastAsiaTheme="majorEastAsia"/>
          <w:kern w:val="0"/>
          <w:sz w:val="24"/>
          <w:highlight w:val="none"/>
          <w:lang w:eastAsia="zh-CN"/>
        </w:rPr>
        <w:t>二〇二二年四月六日</w:t>
      </w:r>
      <w:r>
        <w:rPr>
          <w:rFonts w:hint="eastAsia" w:asciiTheme="majorEastAsia" w:hAnsiTheme="majorEastAsia" w:eastAsiaTheme="majorEastAsia"/>
          <w:kern w:val="0"/>
          <w:sz w:val="24"/>
        </w:rPr>
        <w:t>。</w:t>
      </w:r>
    </w:p>
    <w:p>
      <w:pPr>
        <w:tabs>
          <w:tab w:val="left" w:pos="0"/>
          <w:tab w:val="left" w:pos="11988"/>
        </w:tabs>
        <w:spacing w:line="460" w:lineRule="exact"/>
        <w:ind w:firstLine="482" w:firstLineChars="200"/>
        <w:jc w:val="left"/>
        <w:rPr>
          <w:rFonts w:hint="eastAsia" w:asciiTheme="majorEastAsia" w:hAnsiTheme="majorEastAsia" w:eastAsiaTheme="majorEastAsia"/>
          <w:b/>
          <w:sz w:val="24"/>
          <w:lang w:eastAsia="zh-CN"/>
        </w:rPr>
      </w:pPr>
    </w:p>
    <w:p>
      <w:pPr>
        <w:tabs>
          <w:tab w:val="left" w:pos="0"/>
          <w:tab w:val="left" w:pos="11988"/>
        </w:tabs>
        <w:spacing w:line="460" w:lineRule="exact"/>
        <w:ind w:firstLine="482" w:firstLineChars="200"/>
        <w:jc w:val="left"/>
        <w:rPr>
          <w:rFonts w:hint="eastAsia" w:asciiTheme="majorEastAsia" w:hAnsiTheme="majorEastAsia" w:eastAsiaTheme="majorEastAsia"/>
          <w:b/>
          <w:sz w:val="24"/>
          <w:lang w:eastAsia="zh-CN"/>
        </w:rPr>
      </w:pPr>
    </w:p>
    <w:p>
      <w:pPr>
        <w:tabs>
          <w:tab w:val="left" w:pos="0"/>
          <w:tab w:val="left" w:pos="11988"/>
        </w:tabs>
        <w:spacing w:line="460" w:lineRule="exact"/>
        <w:ind w:firstLine="482" w:firstLineChars="200"/>
        <w:jc w:val="left"/>
        <w:rPr>
          <w:rFonts w:hint="eastAsia" w:asciiTheme="majorEastAsia" w:hAnsiTheme="majorEastAsia" w:eastAsiaTheme="majorEastAsia"/>
          <w:b/>
          <w:sz w:val="24"/>
          <w:lang w:eastAsia="zh-CN"/>
        </w:rPr>
      </w:pPr>
    </w:p>
    <w:p>
      <w:pPr>
        <w:tabs>
          <w:tab w:val="left" w:pos="0"/>
          <w:tab w:val="left" w:pos="11988"/>
        </w:tabs>
        <w:spacing w:line="460" w:lineRule="exact"/>
        <w:ind w:firstLine="482" w:firstLineChars="200"/>
        <w:jc w:val="left"/>
        <w:rPr>
          <w:rFonts w:hint="eastAsia" w:asciiTheme="majorEastAsia" w:hAnsiTheme="majorEastAsia" w:eastAsiaTheme="majorEastAsia"/>
          <w:b/>
          <w:sz w:val="24"/>
          <w:lang w:eastAsia="zh-CN"/>
        </w:rPr>
      </w:pPr>
    </w:p>
    <w:p>
      <w:pPr>
        <w:tabs>
          <w:tab w:val="left" w:pos="0"/>
          <w:tab w:val="left" w:pos="11988"/>
        </w:tabs>
        <w:spacing w:line="460" w:lineRule="exact"/>
        <w:ind w:firstLine="482" w:firstLineChars="200"/>
        <w:jc w:val="left"/>
        <w:rPr>
          <w:rFonts w:hint="eastAsia" w:asciiTheme="majorEastAsia" w:hAnsiTheme="majorEastAsia" w:eastAsiaTheme="majorEastAsia"/>
          <w:b/>
          <w:sz w:val="24"/>
          <w:lang w:eastAsia="zh-CN"/>
        </w:rPr>
      </w:pPr>
    </w:p>
    <w:p>
      <w:pPr>
        <w:tabs>
          <w:tab w:val="left" w:pos="0"/>
          <w:tab w:val="left" w:pos="11988"/>
        </w:tabs>
        <w:spacing w:line="460" w:lineRule="exact"/>
        <w:ind w:firstLine="482" w:firstLineChars="200"/>
        <w:jc w:val="left"/>
        <w:rPr>
          <w:rFonts w:hint="eastAsia" w:asciiTheme="majorEastAsia" w:hAnsiTheme="majorEastAsia" w:eastAsiaTheme="majorEastAsia"/>
          <w:b/>
          <w:sz w:val="24"/>
          <w:lang w:eastAsia="zh-CN"/>
        </w:rPr>
      </w:pPr>
    </w:p>
    <w:p>
      <w:pPr>
        <w:tabs>
          <w:tab w:val="left" w:pos="0"/>
          <w:tab w:val="left" w:pos="11988"/>
        </w:tabs>
        <w:spacing w:line="460" w:lineRule="exact"/>
        <w:ind w:firstLine="482" w:firstLineChars="200"/>
        <w:jc w:val="left"/>
        <w:rPr>
          <w:rFonts w:hint="eastAsia" w:asciiTheme="majorEastAsia" w:hAnsiTheme="majorEastAsia" w:eastAsiaTheme="majorEastAsia"/>
          <w:b/>
          <w:sz w:val="24"/>
          <w:lang w:eastAsia="zh-CN"/>
        </w:rPr>
      </w:pPr>
    </w:p>
    <w:p>
      <w:pPr>
        <w:tabs>
          <w:tab w:val="left" w:pos="0"/>
          <w:tab w:val="left" w:pos="11988"/>
        </w:tabs>
        <w:spacing w:line="460" w:lineRule="exact"/>
        <w:jc w:val="left"/>
        <w:rPr>
          <w:rFonts w:hint="eastAsia" w:asciiTheme="majorEastAsia" w:hAnsiTheme="majorEastAsia" w:eastAsiaTheme="majorEastAsia"/>
          <w:b/>
          <w:sz w:val="24"/>
          <w:lang w:eastAsia="zh-CN"/>
        </w:rPr>
      </w:pPr>
    </w:p>
    <w:p>
      <w:pPr>
        <w:tabs>
          <w:tab w:val="left" w:pos="0"/>
          <w:tab w:val="left" w:pos="11988"/>
        </w:tabs>
        <w:spacing w:line="460" w:lineRule="exact"/>
        <w:ind w:firstLine="482" w:firstLineChars="200"/>
        <w:jc w:val="left"/>
        <w:rPr>
          <w:rFonts w:hint="eastAsia" w:asciiTheme="majorEastAsia" w:hAnsiTheme="majorEastAsia" w:eastAsiaTheme="majorEastAsia"/>
          <w:b/>
          <w:sz w:val="24"/>
          <w:lang w:eastAsia="zh-CN"/>
        </w:rPr>
      </w:pPr>
      <w:r>
        <w:rPr>
          <w:rFonts w:hint="eastAsia" w:asciiTheme="majorEastAsia" w:hAnsiTheme="majorEastAsia" w:eastAsiaTheme="majorEastAsia"/>
          <w:b/>
          <w:sz w:val="24"/>
          <w:lang w:eastAsia="zh-CN"/>
        </w:rPr>
        <w:t>（此页无正文）</w:t>
      </w:r>
    </w:p>
    <w:p>
      <w:pPr>
        <w:tabs>
          <w:tab w:val="left" w:pos="0"/>
          <w:tab w:val="left" w:pos="11988"/>
        </w:tabs>
        <w:spacing w:line="460" w:lineRule="exact"/>
        <w:ind w:firstLine="482" w:firstLineChars="200"/>
        <w:jc w:val="left"/>
        <w:rPr>
          <w:rFonts w:hint="eastAsia" w:asciiTheme="majorEastAsia" w:hAnsiTheme="majorEastAsia" w:eastAsiaTheme="majorEastAsia"/>
          <w:sz w:val="24"/>
        </w:rPr>
      </w:pPr>
      <w:r>
        <w:rPr>
          <w:rFonts w:hint="eastAsia" w:asciiTheme="majorEastAsia" w:hAnsiTheme="majorEastAsia" w:eastAsiaTheme="majorEastAsia"/>
          <w:b/>
          <w:sz w:val="24"/>
        </w:rPr>
        <w:t>十四、签字盖章</w:t>
      </w:r>
    </w:p>
    <w:p>
      <w:pPr>
        <w:spacing w:line="460" w:lineRule="exact"/>
        <w:ind w:firstLine="5040" w:firstLineChars="2100"/>
        <w:jc w:val="left"/>
        <w:rPr>
          <w:rFonts w:hint="eastAsia" w:asciiTheme="majorEastAsia" w:hAnsiTheme="majorEastAsia" w:eastAsiaTheme="majorEastAsia"/>
          <w:sz w:val="24"/>
        </w:rPr>
      </w:pPr>
    </w:p>
    <w:p>
      <w:pPr>
        <w:spacing w:line="460" w:lineRule="exact"/>
        <w:ind w:firstLine="5040" w:firstLineChars="2100"/>
        <w:jc w:val="left"/>
        <w:rPr>
          <w:rFonts w:hint="eastAsia" w:asciiTheme="majorEastAsia" w:hAnsiTheme="majorEastAsia" w:eastAsiaTheme="majorEastAsia"/>
          <w:sz w:val="24"/>
        </w:rPr>
      </w:pPr>
    </w:p>
    <w:p>
      <w:pPr>
        <w:spacing w:line="460" w:lineRule="exact"/>
        <w:ind w:firstLine="5040" w:firstLineChars="2100"/>
        <w:jc w:val="left"/>
        <w:rPr>
          <w:rFonts w:asciiTheme="majorEastAsia" w:hAnsiTheme="majorEastAsia" w:eastAsiaTheme="majorEastAsia"/>
          <w:sz w:val="24"/>
        </w:rPr>
      </w:pPr>
      <w:r>
        <w:rPr>
          <w:rFonts w:hint="eastAsia" w:asciiTheme="majorEastAsia" w:hAnsiTheme="majorEastAsia" w:eastAsiaTheme="majorEastAsia"/>
          <w:sz w:val="24"/>
        </w:rPr>
        <w:t>执行合伙人：</w:t>
      </w:r>
    </w:p>
    <w:p>
      <w:pPr>
        <w:spacing w:line="460" w:lineRule="exact"/>
        <w:ind w:firstLine="360" w:firstLineChars="150"/>
        <w:jc w:val="left"/>
        <w:rPr>
          <w:rFonts w:asciiTheme="majorEastAsia" w:hAnsiTheme="majorEastAsia" w:eastAsiaTheme="majorEastAsia"/>
          <w:sz w:val="24"/>
        </w:rPr>
      </w:pPr>
    </w:p>
    <w:p>
      <w:pPr>
        <w:spacing w:line="460" w:lineRule="exact"/>
        <w:jc w:val="left"/>
        <w:rPr>
          <w:rFonts w:asciiTheme="majorEastAsia" w:hAnsiTheme="majorEastAsia" w:eastAsiaTheme="majorEastAsia"/>
          <w:sz w:val="24"/>
        </w:rPr>
      </w:pPr>
    </w:p>
    <w:p>
      <w:pPr>
        <w:spacing w:line="460" w:lineRule="exact"/>
        <w:jc w:val="left"/>
        <w:rPr>
          <w:rFonts w:asciiTheme="majorEastAsia" w:hAnsiTheme="majorEastAsia" w:eastAsiaTheme="majorEastAsia"/>
          <w:sz w:val="24"/>
        </w:rPr>
      </w:pPr>
    </w:p>
    <w:p>
      <w:pPr>
        <w:spacing w:line="460" w:lineRule="exact"/>
        <w:jc w:val="left"/>
        <w:rPr>
          <w:rFonts w:asciiTheme="majorEastAsia" w:hAnsiTheme="majorEastAsia" w:eastAsiaTheme="majorEastAsia"/>
          <w:sz w:val="24"/>
        </w:rPr>
      </w:pPr>
    </w:p>
    <w:p>
      <w:pPr>
        <w:spacing w:line="4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 xml:space="preserve">评估机构：辽源新安资产评估事务所      资产评估师：  </w:t>
      </w:r>
    </w:p>
    <w:p>
      <w:pPr>
        <w:spacing w:line="460" w:lineRule="exact"/>
        <w:ind w:firstLine="2160" w:firstLineChars="900"/>
        <w:jc w:val="left"/>
        <w:rPr>
          <w:rFonts w:hint="eastAsia" w:asciiTheme="majorEastAsia" w:hAnsiTheme="majorEastAsia" w:eastAsiaTheme="majorEastAsia"/>
          <w:sz w:val="24"/>
        </w:rPr>
      </w:pPr>
      <w:r>
        <w:rPr>
          <w:rFonts w:hint="eastAsia" w:asciiTheme="majorEastAsia" w:hAnsiTheme="majorEastAsia" w:eastAsiaTheme="majorEastAsia"/>
          <w:sz w:val="24"/>
        </w:rPr>
        <w:t xml:space="preserve">（普通合伙）        </w:t>
      </w:r>
    </w:p>
    <w:p>
      <w:pPr>
        <w:spacing w:line="460" w:lineRule="exact"/>
        <w:jc w:val="left"/>
        <w:rPr>
          <w:rFonts w:hint="eastAsia" w:asciiTheme="majorEastAsia" w:hAnsiTheme="majorEastAsia" w:eastAsiaTheme="majorEastAsia"/>
          <w:sz w:val="24"/>
        </w:rPr>
      </w:pPr>
    </w:p>
    <w:p>
      <w:pPr>
        <w:spacing w:line="460" w:lineRule="exact"/>
        <w:jc w:val="left"/>
        <w:rPr>
          <w:rFonts w:hint="eastAsia" w:asciiTheme="majorEastAsia" w:hAnsiTheme="majorEastAsia" w:eastAsiaTheme="majorEastAsia"/>
          <w:sz w:val="24"/>
        </w:rPr>
      </w:pPr>
    </w:p>
    <w:p>
      <w:pPr>
        <w:spacing w:line="460" w:lineRule="exact"/>
        <w:jc w:val="left"/>
        <w:rPr>
          <w:rFonts w:hint="eastAsia" w:asciiTheme="majorEastAsia" w:hAnsiTheme="majorEastAsia" w:eastAsiaTheme="majorEastAsia"/>
          <w:sz w:val="24"/>
        </w:rPr>
      </w:pPr>
    </w:p>
    <w:p>
      <w:pPr>
        <w:spacing w:line="460" w:lineRule="exact"/>
        <w:ind w:firstLine="5040" w:firstLineChars="2100"/>
        <w:jc w:val="left"/>
        <w:rPr>
          <w:rFonts w:asciiTheme="majorEastAsia" w:hAnsiTheme="majorEastAsia" w:eastAsiaTheme="majorEastAsia"/>
          <w:sz w:val="24"/>
        </w:rPr>
      </w:pPr>
      <w:r>
        <w:rPr>
          <w:rFonts w:hint="eastAsia" w:asciiTheme="majorEastAsia" w:hAnsiTheme="majorEastAsia" w:eastAsiaTheme="majorEastAsia"/>
          <w:sz w:val="24"/>
        </w:rPr>
        <w:t xml:space="preserve">资产评估师： </w:t>
      </w:r>
    </w:p>
    <w:p>
      <w:pPr>
        <w:spacing w:line="460" w:lineRule="exact"/>
        <w:ind w:firstLine="630" w:firstLineChars="300"/>
        <w:jc w:val="left"/>
        <w:rPr>
          <w:rFonts w:asciiTheme="majorEastAsia" w:hAnsiTheme="majorEastAsia" w:eastAsiaTheme="majorEastAsia"/>
          <w:szCs w:val="21"/>
        </w:rPr>
      </w:pPr>
      <w:r>
        <w:rPr>
          <w:rFonts w:hint="eastAsia" w:asciiTheme="majorEastAsia" w:hAnsiTheme="majorEastAsia" w:eastAsiaTheme="majorEastAsia"/>
          <w:szCs w:val="21"/>
        </w:rPr>
        <w:t xml:space="preserve">  </w:t>
      </w:r>
    </w:p>
    <w:p>
      <w:pPr>
        <w:jc w:val="center"/>
        <w:rPr>
          <w:rFonts w:hint="eastAsia" w:asciiTheme="majorEastAsia" w:hAnsiTheme="majorEastAsia" w:eastAsiaTheme="majorEastAsia"/>
          <w:b/>
          <w:sz w:val="36"/>
          <w:szCs w:val="36"/>
        </w:rPr>
      </w:pPr>
    </w:p>
    <w:p>
      <w:pPr>
        <w:ind w:firstLine="3614" w:firstLineChars="1000"/>
        <w:jc w:val="both"/>
        <w:rPr>
          <w:rFonts w:hint="eastAsia" w:asciiTheme="majorEastAsia" w:hAnsiTheme="majorEastAsia" w:eastAsiaTheme="majorEastAsia"/>
          <w:b/>
          <w:sz w:val="36"/>
          <w:szCs w:val="36"/>
        </w:rPr>
      </w:pPr>
    </w:p>
    <w:p>
      <w:pPr>
        <w:ind w:firstLine="3614" w:firstLineChars="1000"/>
        <w:jc w:val="both"/>
        <w:rPr>
          <w:rFonts w:hint="eastAsia" w:asciiTheme="majorEastAsia" w:hAnsiTheme="majorEastAsia" w:eastAsiaTheme="majorEastAsia"/>
          <w:b/>
          <w:sz w:val="36"/>
          <w:szCs w:val="36"/>
        </w:rPr>
      </w:pPr>
    </w:p>
    <w:p>
      <w:pPr>
        <w:ind w:firstLine="3614" w:firstLineChars="1000"/>
        <w:jc w:val="both"/>
        <w:rPr>
          <w:rFonts w:hint="eastAsia" w:asciiTheme="majorEastAsia" w:hAnsiTheme="majorEastAsia" w:eastAsiaTheme="majorEastAsia"/>
          <w:b/>
          <w:sz w:val="36"/>
          <w:szCs w:val="36"/>
        </w:rPr>
      </w:pPr>
    </w:p>
    <w:p>
      <w:pPr>
        <w:ind w:firstLine="3614" w:firstLineChars="1000"/>
        <w:jc w:val="both"/>
        <w:rPr>
          <w:rFonts w:hint="eastAsia" w:asciiTheme="majorEastAsia" w:hAnsiTheme="majorEastAsia" w:eastAsiaTheme="majorEastAsia"/>
          <w:b/>
          <w:sz w:val="36"/>
          <w:szCs w:val="36"/>
        </w:rPr>
      </w:pPr>
    </w:p>
    <w:p>
      <w:pPr>
        <w:ind w:firstLine="3614" w:firstLineChars="1000"/>
        <w:jc w:val="both"/>
        <w:rPr>
          <w:rFonts w:hint="eastAsia" w:asciiTheme="majorEastAsia" w:hAnsiTheme="majorEastAsia" w:eastAsiaTheme="majorEastAsia"/>
          <w:b/>
          <w:sz w:val="36"/>
          <w:szCs w:val="36"/>
        </w:rPr>
      </w:pPr>
    </w:p>
    <w:p>
      <w:pPr>
        <w:ind w:firstLine="3614" w:firstLineChars="1000"/>
        <w:jc w:val="both"/>
        <w:rPr>
          <w:rFonts w:hint="eastAsia" w:asciiTheme="majorEastAsia" w:hAnsiTheme="majorEastAsia" w:eastAsiaTheme="majorEastAsia"/>
          <w:b/>
          <w:sz w:val="36"/>
          <w:szCs w:val="36"/>
        </w:rPr>
      </w:pPr>
    </w:p>
    <w:p>
      <w:pPr>
        <w:ind w:firstLine="3614" w:firstLineChars="1000"/>
        <w:jc w:val="both"/>
        <w:rPr>
          <w:rFonts w:hint="eastAsia" w:asciiTheme="majorEastAsia" w:hAnsiTheme="majorEastAsia" w:eastAsiaTheme="majorEastAsia"/>
          <w:b/>
          <w:sz w:val="36"/>
          <w:szCs w:val="36"/>
        </w:rPr>
      </w:pPr>
    </w:p>
    <w:p>
      <w:pPr>
        <w:ind w:firstLine="3614" w:firstLineChars="1000"/>
        <w:jc w:val="both"/>
        <w:rPr>
          <w:rFonts w:hint="eastAsia" w:asciiTheme="majorEastAsia" w:hAnsiTheme="majorEastAsia" w:eastAsiaTheme="majorEastAsia"/>
          <w:b/>
          <w:sz w:val="36"/>
          <w:szCs w:val="36"/>
        </w:rPr>
      </w:pPr>
    </w:p>
    <w:p>
      <w:pPr>
        <w:ind w:firstLine="3614" w:firstLineChars="1000"/>
        <w:jc w:val="both"/>
        <w:rPr>
          <w:rFonts w:hint="eastAsia" w:asciiTheme="majorEastAsia" w:hAnsiTheme="majorEastAsia" w:eastAsiaTheme="majorEastAsia"/>
          <w:b/>
          <w:sz w:val="36"/>
          <w:szCs w:val="36"/>
        </w:rPr>
      </w:pPr>
    </w:p>
    <w:p>
      <w:pPr>
        <w:ind w:firstLine="3614" w:firstLineChars="1000"/>
        <w:jc w:val="both"/>
        <w:rPr>
          <w:rFonts w:hint="eastAsia" w:asciiTheme="majorEastAsia" w:hAnsiTheme="majorEastAsia" w:eastAsiaTheme="majorEastAsia"/>
          <w:b/>
          <w:sz w:val="36"/>
          <w:szCs w:val="36"/>
        </w:rPr>
      </w:pPr>
    </w:p>
    <w:p>
      <w:pPr>
        <w:ind w:firstLine="3614" w:firstLineChars="1000"/>
        <w:jc w:val="both"/>
        <w:rPr>
          <w:rFonts w:hint="eastAsia" w:asciiTheme="majorEastAsia" w:hAnsiTheme="majorEastAsia" w:eastAsiaTheme="majorEastAsia"/>
          <w:b/>
          <w:sz w:val="36"/>
          <w:szCs w:val="36"/>
        </w:rPr>
      </w:pPr>
    </w:p>
    <w:p>
      <w:pPr>
        <w:ind w:firstLine="3614" w:firstLineChars="1000"/>
        <w:jc w:val="both"/>
        <w:rPr>
          <w:rFonts w:hint="eastAsia" w:asciiTheme="majorEastAsia" w:hAnsiTheme="majorEastAsia" w:eastAsiaTheme="majorEastAsia"/>
          <w:b/>
          <w:sz w:val="36"/>
          <w:szCs w:val="36"/>
        </w:rPr>
      </w:pPr>
      <w:r>
        <w:rPr>
          <w:rFonts w:hint="eastAsia" w:asciiTheme="majorEastAsia" w:hAnsiTheme="majorEastAsia" w:eastAsiaTheme="majorEastAsia"/>
          <w:b/>
          <w:sz w:val="36"/>
          <w:szCs w:val="36"/>
        </w:rPr>
        <w:t>附 件 目 录</w:t>
      </w:r>
    </w:p>
    <w:p>
      <w:pPr>
        <w:jc w:val="both"/>
        <w:rPr>
          <w:rFonts w:hint="eastAsia" w:asciiTheme="majorEastAsia" w:hAnsiTheme="majorEastAsia" w:eastAsiaTheme="majorEastAsia"/>
          <w:b/>
          <w:sz w:val="36"/>
          <w:szCs w:val="36"/>
        </w:rPr>
      </w:pPr>
    </w:p>
    <w:p>
      <w:pPr>
        <w:jc w:val="left"/>
        <w:rPr>
          <w:rFonts w:asciiTheme="majorEastAsia" w:hAnsiTheme="majorEastAsia" w:eastAsiaTheme="majorEastAsia"/>
          <w:sz w:val="24"/>
        </w:rPr>
      </w:pPr>
    </w:p>
    <w:p>
      <w:pPr>
        <w:numPr>
          <w:ilvl w:val="0"/>
          <w:numId w:val="3"/>
        </w:numPr>
        <w:spacing w:line="460" w:lineRule="exact"/>
        <w:ind w:left="420" w:leftChars="200" w:firstLine="314" w:firstLineChars="131"/>
        <w:jc w:val="left"/>
        <w:rPr>
          <w:rFonts w:hint="eastAsia" w:asciiTheme="majorEastAsia" w:hAnsiTheme="majorEastAsia" w:eastAsiaTheme="majorEastAsia"/>
          <w:sz w:val="24"/>
        </w:rPr>
      </w:pPr>
      <w:r>
        <w:rPr>
          <w:rFonts w:hint="eastAsia" w:asciiTheme="majorEastAsia" w:hAnsiTheme="majorEastAsia" w:eastAsiaTheme="majorEastAsia"/>
          <w:sz w:val="24"/>
          <w:lang w:eastAsia="zh-CN"/>
        </w:rPr>
        <w:t>资产</w:t>
      </w:r>
      <w:r>
        <w:rPr>
          <w:rFonts w:hint="eastAsia" w:asciiTheme="majorEastAsia" w:hAnsiTheme="majorEastAsia" w:eastAsiaTheme="majorEastAsia"/>
          <w:sz w:val="24"/>
        </w:rPr>
        <w:t>评估明细表；</w:t>
      </w:r>
    </w:p>
    <w:p>
      <w:pPr>
        <w:numPr>
          <w:ilvl w:val="0"/>
          <w:numId w:val="3"/>
        </w:numPr>
        <w:spacing w:line="460" w:lineRule="exact"/>
        <w:ind w:left="420" w:leftChars="200" w:firstLine="314" w:firstLineChars="131"/>
        <w:jc w:val="left"/>
        <w:rPr>
          <w:rFonts w:hint="eastAsia" w:asciiTheme="majorEastAsia" w:hAnsiTheme="majorEastAsia" w:eastAsiaTheme="majorEastAsia"/>
          <w:sz w:val="24"/>
        </w:rPr>
      </w:pPr>
      <w:r>
        <w:rPr>
          <w:rFonts w:hint="eastAsia" w:asciiTheme="majorEastAsia" w:hAnsiTheme="majorEastAsia" w:eastAsiaTheme="majorEastAsia"/>
          <w:sz w:val="24"/>
          <w:lang w:eastAsia="zh-CN"/>
        </w:rPr>
        <w:t>辽源市龙山区人民法院</w:t>
      </w:r>
      <w:r>
        <w:rPr>
          <w:rFonts w:hint="eastAsia" w:asciiTheme="majorEastAsia" w:hAnsiTheme="majorEastAsia" w:eastAsiaTheme="majorEastAsia"/>
          <w:sz w:val="24"/>
        </w:rPr>
        <w:t>司法辅助办公室</w:t>
      </w:r>
      <w:r>
        <w:rPr>
          <w:rFonts w:hint="eastAsia" w:asciiTheme="majorEastAsia" w:hAnsiTheme="majorEastAsia" w:eastAsiaTheme="majorEastAsia"/>
          <w:sz w:val="24"/>
          <w:lang w:eastAsia="zh-CN"/>
        </w:rPr>
        <w:t>《司法鉴定委托书》（案号（202</w:t>
      </w:r>
      <w:r>
        <w:rPr>
          <w:rFonts w:hint="eastAsia" w:asciiTheme="majorEastAsia" w:hAnsiTheme="majorEastAsia" w:eastAsiaTheme="majorEastAsia"/>
          <w:sz w:val="24"/>
          <w:lang w:val="en-US" w:eastAsia="zh-CN"/>
        </w:rPr>
        <w:t>2</w:t>
      </w:r>
      <w:r>
        <w:rPr>
          <w:rFonts w:hint="eastAsia" w:asciiTheme="majorEastAsia" w:hAnsiTheme="majorEastAsia" w:eastAsiaTheme="majorEastAsia"/>
          <w:sz w:val="24"/>
          <w:lang w:eastAsia="zh-CN"/>
        </w:rPr>
        <w:t>）吉0402委评</w:t>
      </w:r>
      <w:r>
        <w:rPr>
          <w:rFonts w:hint="eastAsia" w:asciiTheme="majorEastAsia" w:hAnsiTheme="majorEastAsia" w:eastAsiaTheme="majorEastAsia"/>
          <w:sz w:val="24"/>
          <w:lang w:val="en-US" w:eastAsia="zh-CN"/>
        </w:rPr>
        <w:t>16</w:t>
      </w:r>
      <w:r>
        <w:rPr>
          <w:rFonts w:hint="eastAsia" w:asciiTheme="majorEastAsia" w:hAnsiTheme="majorEastAsia" w:eastAsiaTheme="majorEastAsia"/>
          <w:sz w:val="24"/>
          <w:lang w:eastAsia="zh-CN"/>
        </w:rPr>
        <w:t>号）</w:t>
      </w:r>
      <w:r>
        <w:rPr>
          <w:rFonts w:hint="eastAsia" w:asciiTheme="majorEastAsia" w:hAnsiTheme="majorEastAsia" w:eastAsiaTheme="majorEastAsia"/>
          <w:sz w:val="24"/>
        </w:rPr>
        <w:t>；</w:t>
      </w:r>
    </w:p>
    <w:p>
      <w:pPr>
        <w:numPr>
          <w:ilvl w:val="0"/>
          <w:numId w:val="3"/>
        </w:numPr>
        <w:spacing w:line="460" w:lineRule="exact"/>
        <w:ind w:left="420" w:leftChars="200" w:firstLine="314" w:firstLineChars="131"/>
        <w:jc w:val="left"/>
        <w:rPr>
          <w:rFonts w:hint="eastAsia" w:asciiTheme="majorEastAsia" w:hAnsiTheme="majorEastAsia" w:eastAsiaTheme="majorEastAsia"/>
          <w:sz w:val="24"/>
        </w:rPr>
      </w:pPr>
      <w:r>
        <w:rPr>
          <w:rFonts w:hint="eastAsia" w:asciiTheme="majorEastAsia" w:hAnsiTheme="majorEastAsia" w:eastAsiaTheme="majorEastAsia"/>
          <w:sz w:val="24"/>
          <w:lang w:val="en-US" w:eastAsia="zh-CN"/>
        </w:rPr>
        <w:t>辽源市龙山区人民法院对外委托案件移送表；</w:t>
      </w:r>
    </w:p>
    <w:p>
      <w:pPr>
        <w:numPr>
          <w:ilvl w:val="0"/>
          <w:numId w:val="3"/>
        </w:numPr>
        <w:spacing w:line="460" w:lineRule="exact"/>
        <w:ind w:left="420" w:leftChars="200" w:firstLine="314" w:firstLineChars="131"/>
        <w:jc w:val="left"/>
        <w:rPr>
          <w:rFonts w:hint="eastAsia" w:asciiTheme="majorEastAsia" w:hAnsiTheme="majorEastAsia" w:eastAsiaTheme="majorEastAsia"/>
          <w:sz w:val="24"/>
        </w:rPr>
      </w:pPr>
      <w:r>
        <w:rPr>
          <w:rFonts w:hint="eastAsia" w:asciiTheme="majorEastAsia" w:hAnsiTheme="majorEastAsia" w:eastAsiaTheme="majorEastAsia"/>
          <w:sz w:val="24"/>
          <w:lang w:eastAsia="zh-CN"/>
        </w:rPr>
        <w:t>《不动产查询结果证明》；</w:t>
      </w:r>
    </w:p>
    <w:p>
      <w:pPr>
        <w:numPr>
          <w:ilvl w:val="0"/>
          <w:numId w:val="3"/>
        </w:numPr>
        <w:spacing w:line="460" w:lineRule="exact"/>
        <w:ind w:left="420" w:leftChars="200" w:firstLine="314" w:firstLineChars="131"/>
        <w:jc w:val="left"/>
        <w:rPr>
          <w:rFonts w:hint="eastAsia" w:asciiTheme="majorEastAsia" w:hAnsiTheme="majorEastAsia" w:eastAsiaTheme="majorEastAsia"/>
          <w:sz w:val="24"/>
        </w:rPr>
      </w:pPr>
      <w:r>
        <w:rPr>
          <w:rFonts w:hint="eastAsia" w:asciiTheme="majorEastAsia" w:hAnsiTheme="majorEastAsia" w:eastAsiaTheme="majorEastAsia"/>
          <w:sz w:val="24"/>
        </w:rPr>
        <w:t>现场勘察照片；</w:t>
      </w:r>
    </w:p>
    <w:p>
      <w:pPr>
        <w:numPr>
          <w:ilvl w:val="0"/>
          <w:numId w:val="3"/>
        </w:numPr>
        <w:spacing w:line="460" w:lineRule="exact"/>
        <w:ind w:left="420" w:leftChars="200" w:firstLine="314" w:firstLineChars="131"/>
        <w:jc w:val="left"/>
        <w:rPr>
          <w:rFonts w:hint="eastAsia" w:asciiTheme="majorEastAsia" w:hAnsiTheme="majorEastAsia" w:eastAsiaTheme="majorEastAsia"/>
          <w:sz w:val="24"/>
        </w:rPr>
      </w:pPr>
      <w:r>
        <w:rPr>
          <w:rFonts w:hint="eastAsia" w:asciiTheme="majorEastAsia" w:hAnsiTheme="majorEastAsia" w:eastAsiaTheme="majorEastAsia"/>
          <w:sz w:val="24"/>
          <w:lang w:eastAsia="zh-CN"/>
        </w:rPr>
        <w:t>司法鉴定人承诺书；</w:t>
      </w:r>
    </w:p>
    <w:p>
      <w:pPr>
        <w:numPr>
          <w:ilvl w:val="0"/>
          <w:numId w:val="3"/>
        </w:numPr>
        <w:spacing w:line="460" w:lineRule="exact"/>
        <w:ind w:left="420" w:leftChars="200" w:firstLine="314" w:firstLineChars="131"/>
        <w:jc w:val="left"/>
        <w:rPr>
          <w:rFonts w:hint="eastAsia" w:asciiTheme="majorEastAsia" w:hAnsiTheme="majorEastAsia" w:eastAsiaTheme="majorEastAsia"/>
          <w:sz w:val="24"/>
        </w:rPr>
      </w:pPr>
      <w:r>
        <w:rPr>
          <w:rFonts w:hint="eastAsia" w:asciiTheme="majorEastAsia" w:hAnsiTheme="majorEastAsia" w:eastAsiaTheme="majorEastAsia"/>
          <w:sz w:val="24"/>
        </w:rPr>
        <w:t>《资产评估师承诺函》；</w:t>
      </w:r>
    </w:p>
    <w:p>
      <w:pPr>
        <w:numPr>
          <w:ilvl w:val="0"/>
          <w:numId w:val="3"/>
        </w:numPr>
        <w:spacing w:line="460" w:lineRule="exact"/>
        <w:ind w:left="420" w:leftChars="200" w:firstLine="314" w:firstLineChars="131"/>
        <w:jc w:val="left"/>
        <w:rPr>
          <w:rFonts w:hint="eastAsia" w:asciiTheme="majorEastAsia" w:hAnsiTheme="majorEastAsia" w:eastAsiaTheme="majorEastAsia"/>
          <w:sz w:val="24"/>
        </w:rPr>
      </w:pPr>
      <w:r>
        <w:rPr>
          <w:rFonts w:hint="eastAsia" w:asciiTheme="majorEastAsia" w:hAnsiTheme="majorEastAsia" w:eastAsiaTheme="majorEastAsia"/>
          <w:sz w:val="24"/>
        </w:rPr>
        <w:t>评估机构营业执照复印件；</w:t>
      </w:r>
    </w:p>
    <w:p>
      <w:pPr>
        <w:numPr>
          <w:ilvl w:val="0"/>
          <w:numId w:val="3"/>
        </w:numPr>
        <w:spacing w:line="460" w:lineRule="exact"/>
        <w:ind w:left="420" w:leftChars="200" w:firstLine="314" w:firstLineChars="131"/>
        <w:jc w:val="left"/>
        <w:rPr>
          <w:rFonts w:hint="eastAsia" w:asciiTheme="majorEastAsia" w:hAnsiTheme="majorEastAsia" w:eastAsiaTheme="majorEastAsia"/>
          <w:sz w:val="24"/>
        </w:rPr>
      </w:pPr>
      <w:r>
        <w:rPr>
          <w:rFonts w:hint="eastAsia" w:asciiTheme="majorEastAsia" w:hAnsiTheme="majorEastAsia" w:eastAsiaTheme="majorEastAsia"/>
          <w:sz w:val="24"/>
        </w:rPr>
        <w:t>资产评估机构变更备案公告复印件；</w:t>
      </w:r>
    </w:p>
    <w:p>
      <w:pPr>
        <w:numPr>
          <w:ilvl w:val="0"/>
          <w:numId w:val="3"/>
        </w:numPr>
        <w:spacing w:line="460" w:lineRule="exact"/>
        <w:ind w:left="420" w:leftChars="200" w:firstLine="314" w:firstLineChars="131"/>
        <w:jc w:val="left"/>
        <w:rPr>
          <w:rFonts w:hint="eastAsia" w:asciiTheme="majorEastAsia" w:hAnsiTheme="majorEastAsia" w:eastAsiaTheme="majorEastAsia"/>
          <w:sz w:val="24"/>
        </w:rPr>
      </w:pPr>
      <w:r>
        <w:rPr>
          <w:rFonts w:hint="eastAsia" w:asciiTheme="majorEastAsia" w:hAnsiTheme="majorEastAsia" w:eastAsiaTheme="majorEastAsia"/>
          <w:sz w:val="24"/>
        </w:rPr>
        <w:t>资产评估师资格证书复印件。</w:t>
      </w:r>
    </w:p>
    <w:sectPr>
      <w:headerReference r:id="rId3" w:type="default"/>
      <w:footerReference r:id="rId4" w:type="default"/>
      <w:pgSz w:w="11906" w:h="16838"/>
      <w:pgMar w:top="1267" w:right="1588" w:bottom="1291" w:left="1588" w:header="1021" w:footer="85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KaiTi_GB2312">
    <w:altName w:val="楷体"/>
    <w:panose1 w:val="02010609060101010101"/>
    <w:charset w:val="00"/>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14"/>
        <w:rFonts w:ascii="宋体" w:hAnsi="宋体"/>
        <w:sz w:val="18"/>
        <w:szCs w:val="18"/>
      </w:rPr>
    </w:pPr>
    <w:r>
      <w:rPr>
        <w:rFonts w:ascii="宋体" w:hAnsi="宋体"/>
        <w:sz w:val="18"/>
        <w:szCs w:val="18"/>
      </w:rPr>
      <w:pict>
        <v:line id="_x0000_s4097" o:spid="_x0000_s4097" o:spt="20" style="position:absolute;left:0pt;margin-left:0pt;margin-top:-2.25pt;height:0pt;width:435.75pt;z-index:251659264;mso-width-relative:page;mso-height-relative:page;" coordsize="21600,21600">
          <v:path arrowok="t"/>
          <v:fill focussize="0,0"/>
          <v:stroke/>
          <v:imagedata o:title=""/>
          <o:lock v:ext="edit"/>
        </v:line>
      </w:pict>
    </w:r>
    <w:r>
      <w:rPr>
        <w:rFonts w:hint="eastAsia" w:ascii="宋体" w:hAnsi="宋体"/>
        <w:sz w:val="18"/>
        <w:szCs w:val="18"/>
      </w:rPr>
      <w:t>辽源新安资产评估事务所（普通合伙）             　　　　　                       共</w:t>
    </w:r>
    <w:r>
      <w:rPr>
        <w:rFonts w:hint="eastAsia" w:ascii="宋体" w:hAnsi="宋体"/>
        <w:sz w:val="18"/>
        <w:szCs w:val="18"/>
      </w:rPr>
      <w:fldChar w:fldCharType="begin"/>
    </w:r>
    <w:r>
      <w:rPr>
        <w:rStyle w:val="14"/>
        <w:rFonts w:hint="eastAsia" w:ascii="宋体" w:hAnsi="宋体"/>
        <w:sz w:val="18"/>
        <w:szCs w:val="18"/>
      </w:rPr>
      <w:instrText xml:space="preserve"> NUMPAGES </w:instrText>
    </w:r>
    <w:r>
      <w:rPr>
        <w:rFonts w:hint="eastAsia" w:ascii="宋体" w:hAnsi="宋体"/>
        <w:sz w:val="18"/>
        <w:szCs w:val="18"/>
      </w:rPr>
      <w:fldChar w:fldCharType="separate"/>
    </w:r>
    <w:r>
      <w:rPr>
        <w:rStyle w:val="14"/>
        <w:rFonts w:ascii="宋体" w:hAnsi="宋体"/>
        <w:sz w:val="18"/>
        <w:szCs w:val="18"/>
      </w:rPr>
      <w:t>16</w:t>
    </w:r>
    <w:r>
      <w:rPr>
        <w:rFonts w:hint="eastAsia" w:ascii="宋体" w:hAnsi="宋体"/>
        <w:sz w:val="18"/>
        <w:szCs w:val="18"/>
      </w:rPr>
      <w:fldChar w:fldCharType="end"/>
    </w:r>
    <w:r>
      <w:rPr>
        <w:rStyle w:val="14"/>
        <w:rFonts w:hint="eastAsia" w:ascii="宋体" w:hAnsi="宋体"/>
        <w:sz w:val="18"/>
        <w:szCs w:val="18"/>
      </w:rPr>
      <w:t>页   第</w:t>
    </w:r>
    <w:r>
      <w:rPr>
        <w:rFonts w:hint="eastAsia" w:ascii="宋体" w:hAnsi="宋体"/>
        <w:sz w:val="18"/>
        <w:szCs w:val="18"/>
      </w:rPr>
      <w:fldChar w:fldCharType="begin"/>
    </w:r>
    <w:r>
      <w:rPr>
        <w:rStyle w:val="14"/>
        <w:rFonts w:hint="eastAsia" w:ascii="宋体" w:hAnsi="宋体"/>
        <w:sz w:val="18"/>
        <w:szCs w:val="18"/>
      </w:rPr>
      <w:instrText xml:space="preserve"> PAGE </w:instrText>
    </w:r>
    <w:r>
      <w:rPr>
        <w:rFonts w:hint="eastAsia" w:ascii="宋体" w:hAnsi="宋体"/>
        <w:sz w:val="18"/>
        <w:szCs w:val="18"/>
      </w:rPr>
      <w:fldChar w:fldCharType="separate"/>
    </w:r>
    <w:r>
      <w:rPr>
        <w:rStyle w:val="14"/>
        <w:rFonts w:ascii="宋体" w:hAnsi="宋体"/>
        <w:sz w:val="18"/>
        <w:szCs w:val="18"/>
      </w:rPr>
      <w:t>12</w:t>
    </w:r>
    <w:r>
      <w:rPr>
        <w:rFonts w:hint="eastAsia" w:ascii="宋体" w:hAnsi="宋体"/>
        <w:sz w:val="18"/>
        <w:szCs w:val="18"/>
      </w:rPr>
      <w:fldChar w:fldCharType="end"/>
    </w:r>
    <w:r>
      <w:rPr>
        <w:rStyle w:val="14"/>
        <w:rFonts w:hint="eastAsia" w:ascii="宋体" w:hAnsi="宋体"/>
        <w:sz w:val="18"/>
        <w:szCs w:val="18"/>
      </w:rPr>
      <w:t>页</w:t>
    </w:r>
  </w:p>
  <w:p>
    <w:pPr>
      <w:rPr>
        <w:rStyle w:val="14"/>
        <w:rFonts w:ascii="宋体" w:hAnsi="宋体"/>
        <w:sz w:val="18"/>
        <w:szCs w:val="18"/>
      </w:rPr>
    </w:pPr>
    <w:r>
      <w:rPr>
        <w:rStyle w:val="14"/>
        <w:rFonts w:hint="eastAsia" w:ascii="宋体" w:hAnsi="宋体"/>
        <w:sz w:val="18"/>
        <w:szCs w:val="18"/>
      </w:rPr>
      <w:t>地址：辽源市龙山区滨河南路金鼎水岸1号楼304室</w:t>
    </w:r>
  </w:p>
  <w:p>
    <w:pPr>
      <w:rPr>
        <w:rFonts w:ascii="宋体" w:hAnsi="宋体"/>
        <w:sz w:val="18"/>
        <w:szCs w:val="18"/>
      </w:rPr>
    </w:pPr>
    <w:r>
      <w:rPr>
        <w:rStyle w:val="14"/>
        <w:rFonts w:hint="eastAsia" w:ascii="宋体" w:hAnsi="宋体"/>
        <w:sz w:val="18"/>
        <w:szCs w:val="18"/>
      </w:rPr>
      <w:t>电话：0437-6109786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hint="default" w:eastAsia="宋体"/>
        <w:highlight w:val="none"/>
        <w:lang w:val="en-US" w:eastAsia="zh-CN"/>
      </w:rPr>
    </w:pPr>
    <w:r>
      <w:rPr>
        <w:rFonts w:hint="eastAsia"/>
        <w:lang w:eastAsia="zh-CN"/>
      </w:rPr>
      <w:t>拟司法执行财产处置涉及的赵利辉住宅价值</w:t>
    </w:r>
    <w:r>
      <w:rPr>
        <w:rFonts w:hint="eastAsia"/>
      </w:rPr>
      <w:t xml:space="preserve">资产评估项目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r>
      <w:rPr>
        <w:rFonts w:hint="eastAsia" w:ascii="宋体" w:hAnsi="宋体"/>
      </w:rPr>
      <w:t>№（202</w:t>
    </w:r>
    <w:r>
      <w:rPr>
        <w:rFonts w:hint="eastAsia" w:ascii="宋体" w:hAnsi="宋体"/>
        <w:lang w:val="en-US" w:eastAsia="zh-CN"/>
      </w:rPr>
      <w:t>2</w:t>
    </w:r>
    <w:r>
      <w:rPr>
        <w:rFonts w:hint="eastAsia" w:ascii="宋体" w:hAnsi="宋体"/>
      </w:rPr>
      <w:t>）</w:t>
    </w:r>
    <w:r>
      <w:rPr>
        <w:rFonts w:hint="eastAsia" w:ascii="宋体" w:hAnsi="宋体"/>
        <w:highlight w:val="none"/>
        <w:lang w:val="en-US" w:eastAsia="zh-CN"/>
      </w:rPr>
      <w:t>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AE2C4F"/>
    <w:multiLevelType w:val="singleLevel"/>
    <w:tmpl w:val="07AE2C4F"/>
    <w:lvl w:ilvl="0" w:tentative="0">
      <w:start w:val="2"/>
      <w:numFmt w:val="chineseCounting"/>
      <w:suff w:val="nothing"/>
      <w:lvlText w:val="（%1）"/>
      <w:lvlJc w:val="left"/>
      <w:rPr>
        <w:rFonts w:hint="eastAsia"/>
      </w:rPr>
    </w:lvl>
  </w:abstractNum>
  <w:abstractNum w:abstractNumId="1">
    <w:nsid w:val="4E9D1A8A"/>
    <w:multiLevelType w:val="multilevel"/>
    <w:tmpl w:val="4E9D1A8A"/>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F533D35"/>
    <w:multiLevelType w:val="multilevel"/>
    <w:tmpl w:val="5F533D35"/>
    <w:lvl w:ilvl="0" w:tentative="0">
      <w:start w:val="1"/>
      <w:numFmt w:val="japaneseCounting"/>
      <w:lvlText w:val="%1、"/>
      <w:lvlJc w:val="left"/>
      <w:pPr>
        <w:ind w:left="360" w:hanging="360"/>
      </w:pPr>
      <w:rPr>
        <w:rFonts w:hint="eastAsia"/>
        <w:b/>
        <w:bCs/>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37EF"/>
    <w:rsid w:val="0000583B"/>
    <w:rsid w:val="00006A72"/>
    <w:rsid w:val="000131EF"/>
    <w:rsid w:val="00015C00"/>
    <w:rsid w:val="00016FB6"/>
    <w:rsid w:val="00021A3E"/>
    <w:rsid w:val="000245A9"/>
    <w:rsid w:val="0002762C"/>
    <w:rsid w:val="000301F2"/>
    <w:rsid w:val="00033425"/>
    <w:rsid w:val="00034B2A"/>
    <w:rsid w:val="000351B6"/>
    <w:rsid w:val="00035657"/>
    <w:rsid w:val="00035F72"/>
    <w:rsid w:val="00036BDD"/>
    <w:rsid w:val="00037000"/>
    <w:rsid w:val="000372FA"/>
    <w:rsid w:val="000376A6"/>
    <w:rsid w:val="00040B9F"/>
    <w:rsid w:val="0004205C"/>
    <w:rsid w:val="00044943"/>
    <w:rsid w:val="00045DCC"/>
    <w:rsid w:val="00050CF1"/>
    <w:rsid w:val="00051617"/>
    <w:rsid w:val="00055ED1"/>
    <w:rsid w:val="00056A63"/>
    <w:rsid w:val="00060650"/>
    <w:rsid w:val="00060A94"/>
    <w:rsid w:val="000616C4"/>
    <w:rsid w:val="000623BB"/>
    <w:rsid w:val="00062732"/>
    <w:rsid w:val="00071F1A"/>
    <w:rsid w:val="00075DAA"/>
    <w:rsid w:val="00080BEE"/>
    <w:rsid w:val="00083D2C"/>
    <w:rsid w:val="000847EE"/>
    <w:rsid w:val="00086D6A"/>
    <w:rsid w:val="00091082"/>
    <w:rsid w:val="00091563"/>
    <w:rsid w:val="000953D2"/>
    <w:rsid w:val="000A1154"/>
    <w:rsid w:val="000A3A45"/>
    <w:rsid w:val="000B1D85"/>
    <w:rsid w:val="000B1EAA"/>
    <w:rsid w:val="000B294F"/>
    <w:rsid w:val="000C3BCC"/>
    <w:rsid w:val="000C4ACF"/>
    <w:rsid w:val="000C526C"/>
    <w:rsid w:val="000C5D3D"/>
    <w:rsid w:val="000D0323"/>
    <w:rsid w:val="000D23E8"/>
    <w:rsid w:val="000D49AA"/>
    <w:rsid w:val="000E11CE"/>
    <w:rsid w:val="000E77E7"/>
    <w:rsid w:val="000F1123"/>
    <w:rsid w:val="000F356A"/>
    <w:rsid w:val="000F508F"/>
    <w:rsid w:val="00100D13"/>
    <w:rsid w:val="001018DE"/>
    <w:rsid w:val="00106D69"/>
    <w:rsid w:val="001109F4"/>
    <w:rsid w:val="0011111D"/>
    <w:rsid w:val="00112773"/>
    <w:rsid w:val="0011358E"/>
    <w:rsid w:val="00117BB0"/>
    <w:rsid w:val="00124516"/>
    <w:rsid w:val="00126113"/>
    <w:rsid w:val="00127359"/>
    <w:rsid w:val="001352AD"/>
    <w:rsid w:val="00135BD5"/>
    <w:rsid w:val="001511FD"/>
    <w:rsid w:val="0015282D"/>
    <w:rsid w:val="001538C2"/>
    <w:rsid w:val="00162274"/>
    <w:rsid w:val="00163BC5"/>
    <w:rsid w:val="00172A27"/>
    <w:rsid w:val="00173A3F"/>
    <w:rsid w:val="00182599"/>
    <w:rsid w:val="00186601"/>
    <w:rsid w:val="00194C2B"/>
    <w:rsid w:val="00195E1A"/>
    <w:rsid w:val="001A19B5"/>
    <w:rsid w:val="001A7159"/>
    <w:rsid w:val="001B0C91"/>
    <w:rsid w:val="001B2755"/>
    <w:rsid w:val="001B2A25"/>
    <w:rsid w:val="001B40F1"/>
    <w:rsid w:val="001B42D0"/>
    <w:rsid w:val="001B698B"/>
    <w:rsid w:val="001C0FE8"/>
    <w:rsid w:val="001D294B"/>
    <w:rsid w:val="001D2EFC"/>
    <w:rsid w:val="001E70AE"/>
    <w:rsid w:val="001F0948"/>
    <w:rsid w:val="001F1663"/>
    <w:rsid w:val="001F1C5C"/>
    <w:rsid w:val="001F20F5"/>
    <w:rsid w:val="00200211"/>
    <w:rsid w:val="0020142D"/>
    <w:rsid w:val="00202718"/>
    <w:rsid w:val="002030C3"/>
    <w:rsid w:val="002060F8"/>
    <w:rsid w:val="0020743E"/>
    <w:rsid w:val="002105B7"/>
    <w:rsid w:val="002148DA"/>
    <w:rsid w:val="0021571B"/>
    <w:rsid w:val="00220C5E"/>
    <w:rsid w:val="00221D2B"/>
    <w:rsid w:val="002237CE"/>
    <w:rsid w:val="002251FA"/>
    <w:rsid w:val="00225677"/>
    <w:rsid w:val="002260E5"/>
    <w:rsid w:val="002336BF"/>
    <w:rsid w:val="0023457D"/>
    <w:rsid w:val="00234CDF"/>
    <w:rsid w:val="002367BA"/>
    <w:rsid w:val="00237F28"/>
    <w:rsid w:val="00253F25"/>
    <w:rsid w:val="002548A4"/>
    <w:rsid w:val="002553F8"/>
    <w:rsid w:val="0026215A"/>
    <w:rsid w:val="00264293"/>
    <w:rsid w:val="00264DB8"/>
    <w:rsid w:val="00266949"/>
    <w:rsid w:val="00272874"/>
    <w:rsid w:val="00274931"/>
    <w:rsid w:val="00275796"/>
    <w:rsid w:val="00275864"/>
    <w:rsid w:val="002766E0"/>
    <w:rsid w:val="00276C3A"/>
    <w:rsid w:val="002803BD"/>
    <w:rsid w:val="002807AF"/>
    <w:rsid w:val="00285A1E"/>
    <w:rsid w:val="002A179C"/>
    <w:rsid w:val="002B00BE"/>
    <w:rsid w:val="002B2281"/>
    <w:rsid w:val="002B4840"/>
    <w:rsid w:val="002B5C17"/>
    <w:rsid w:val="002C078D"/>
    <w:rsid w:val="002C27F5"/>
    <w:rsid w:val="002C42B8"/>
    <w:rsid w:val="002C4FE6"/>
    <w:rsid w:val="002D1A13"/>
    <w:rsid w:val="002D37E4"/>
    <w:rsid w:val="002D3D15"/>
    <w:rsid w:val="002D5842"/>
    <w:rsid w:val="002D68C6"/>
    <w:rsid w:val="002E4182"/>
    <w:rsid w:val="002E6583"/>
    <w:rsid w:val="002F2450"/>
    <w:rsid w:val="00301918"/>
    <w:rsid w:val="00303A2A"/>
    <w:rsid w:val="00307CA6"/>
    <w:rsid w:val="0031462F"/>
    <w:rsid w:val="00317353"/>
    <w:rsid w:val="0032019D"/>
    <w:rsid w:val="003262ED"/>
    <w:rsid w:val="00326BD9"/>
    <w:rsid w:val="00330EA8"/>
    <w:rsid w:val="003310C9"/>
    <w:rsid w:val="00334197"/>
    <w:rsid w:val="00335324"/>
    <w:rsid w:val="00336E4D"/>
    <w:rsid w:val="00336FFB"/>
    <w:rsid w:val="00342F96"/>
    <w:rsid w:val="00345004"/>
    <w:rsid w:val="00346483"/>
    <w:rsid w:val="0035291E"/>
    <w:rsid w:val="00353C4B"/>
    <w:rsid w:val="00356703"/>
    <w:rsid w:val="003625B4"/>
    <w:rsid w:val="0038049F"/>
    <w:rsid w:val="003808BB"/>
    <w:rsid w:val="00381CB7"/>
    <w:rsid w:val="00387AE3"/>
    <w:rsid w:val="0039068E"/>
    <w:rsid w:val="00390DC5"/>
    <w:rsid w:val="00395E61"/>
    <w:rsid w:val="003A1F4A"/>
    <w:rsid w:val="003B13EA"/>
    <w:rsid w:val="003B70B5"/>
    <w:rsid w:val="003C38A8"/>
    <w:rsid w:val="003D0803"/>
    <w:rsid w:val="003D6D12"/>
    <w:rsid w:val="003E1C78"/>
    <w:rsid w:val="004000FB"/>
    <w:rsid w:val="00401EAF"/>
    <w:rsid w:val="004025C7"/>
    <w:rsid w:val="00407207"/>
    <w:rsid w:val="00412D09"/>
    <w:rsid w:val="004226C9"/>
    <w:rsid w:val="004240D7"/>
    <w:rsid w:val="00425ED9"/>
    <w:rsid w:val="004313AF"/>
    <w:rsid w:val="00433739"/>
    <w:rsid w:val="00436116"/>
    <w:rsid w:val="004415F6"/>
    <w:rsid w:val="004427D5"/>
    <w:rsid w:val="00443C74"/>
    <w:rsid w:val="00453AF9"/>
    <w:rsid w:val="004557A0"/>
    <w:rsid w:val="004611BF"/>
    <w:rsid w:val="0047251B"/>
    <w:rsid w:val="0047361B"/>
    <w:rsid w:val="004740AA"/>
    <w:rsid w:val="004832A3"/>
    <w:rsid w:val="00484472"/>
    <w:rsid w:val="004A1372"/>
    <w:rsid w:val="004B1DCB"/>
    <w:rsid w:val="004B1E22"/>
    <w:rsid w:val="004B611D"/>
    <w:rsid w:val="004B7386"/>
    <w:rsid w:val="004E0231"/>
    <w:rsid w:val="004E63AE"/>
    <w:rsid w:val="004F4557"/>
    <w:rsid w:val="004F5B89"/>
    <w:rsid w:val="004F7617"/>
    <w:rsid w:val="0051071F"/>
    <w:rsid w:val="0051080E"/>
    <w:rsid w:val="00512B63"/>
    <w:rsid w:val="00513F8F"/>
    <w:rsid w:val="00515845"/>
    <w:rsid w:val="00515C7F"/>
    <w:rsid w:val="00531A5C"/>
    <w:rsid w:val="005357FE"/>
    <w:rsid w:val="00540B7C"/>
    <w:rsid w:val="005415FD"/>
    <w:rsid w:val="005506E0"/>
    <w:rsid w:val="0056146F"/>
    <w:rsid w:val="005673DE"/>
    <w:rsid w:val="00567B3F"/>
    <w:rsid w:val="00570C79"/>
    <w:rsid w:val="00570EB6"/>
    <w:rsid w:val="00572945"/>
    <w:rsid w:val="005743CA"/>
    <w:rsid w:val="00580A2E"/>
    <w:rsid w:val="00583D67"/>
    <w:rsid w:val="0058785C"/>
    <w:rsid w:val="00591019"/>
    <w:rsid w:val="00595618"/>
    <w:rsid w:val="005A061E"/>
    <w:rsid w:val="005A6AC0"/>
    <w:rsid w:val="005B2C23"/>
    <w:rsid w:val="005B2C4D"/>
    <w:rsid w:val="005B38B2"/>
    <w:rsid w:val="005B41F7"/>
    <w:rsid w:val="005B6D91"/>
    <w:rsid w:val="005C07FF"/>
    <w:rsid w:val="005C1007"/>
    <w:rsid w:val="005C4D87"/>
    <w:rsid w:val="005D02FD"/>
    <w:rsid w:val="005D4735"/>
    <w:rsid w:val="005D4C19"/>
    <w:rsid w:val="005E0521"/>
    <w:rsid w:val="005E2F03"/>
    <w:rsid w:val="005F37C4"/>
    <w:rsid w:val="00602F57"/>
    <w:rsid w:val="006115CC"/>
    <w:rsid w:val="00613833"/>
    <w:rsid w:val="00615C1E"/>
    <w:rsid w:val="00622BB4"/>
    <w:rsid w:val="00623124"/>
    <w:rsid w:val="0063204D"/>
    <w:rsid w:val="00652EC6"/>
    <w:rsid w:val="00654E7E"/>
    <w:rsid w:val="00654F23"/>
    <w:rsid w:val="0066268B"/>
    <w:rsid w:val="00663A58"/>
    <w:rsid w:val="0067143E"/>
    <w:rsid w:val="00676BE3"/>
    <w:rsid w:val="00676DD8"/>
    <w:rsid w:val="00677ED8"/>
    <w:rsid w:val="00686F2B"/>
    <w:rsid w:val="0069666F"/>
    <w:rsid w:val="006A4B73"/>
    <w:rsid w:val="006B5932"/>
    <w:rsid w:val="006B7C73"/>
    <w:rsid w:val="006C1036"/>
    <w:rsid w:val="006C1EC7"/>
    <w:rsid w:val="006D3D61"/>
    <w:rsid w:val="006E35AC"/>
    <w:rsid w:val="006F01E2"/>
    <w:rsid w:val="006F1AA7"/>
    <w:rsid w:val="007016EA"/>
    <w:rsid w:val="00704511"/>
    <w:rsid w:val="00706530"/>
    <w:rsid w:val="0070766B"/>
    <w:rsid w:val="00711903"/>
    <w:rsid w:val="00714929"/>
    <w:rsid w:val="007156D3"/>
    <w:rsid w:val="00717CC7"/>
    <w:rsid w:val="00717ECE"/>
    <w:rsid w:val="00721820"/>
    <w:rsid w:val="00722D0D"/>
    <w:rsid w:val="0072576E"/>
    <w:rsid w:val="0073571E"/>
    <w:rsid w:val="00735916"/>
    <w:rsid w:val="007400ED"/>
    <w:rsid w:val="00744AC5"/>
    <w:rsid w:val="0074575A"/>
    <w:rsid w:val="00745C80"/>
    <w:rsid w:val="007531F9"/>
    <w:rsid w:val="00754C94"/>
    <w:rsid w:val="00756289"/>
    <w:rsid w:val="00764247"/>
    <w:rsid w:val="007805F1"/>
    <w:rsid w:val="007830BB"/>
    <w:rsid w:val="007928B3"/>
    <w:rsid w:val="00795259"/>
    <w:rsid w:val="0079648B"/>
    <w:rsid w:val="00797BA5"/>
    <w:rsid w:val="007A0A08"/>
    <w:rsid w:val="007A17D4"/>
    <w:rsid w:val="007A4D6C"/>
    <w:rsid w:val="007A5A24"/>
    <w:rsid w:val="007A659B"/>
    <w:rsid w:val="007A7239"/>
    <w:rsid w:val="007B2C48"/>
    <w:rsid w:val="007B33E8"/>
    <w:rsid w:val="007C2052"/>
    <w:rsid w:val="007D1013"/>
    <w:rsid w:val="007D181E"/>
    <w:rsid w:val="007D27CF"/>
    <w:rsid w:val="007D78E9"/>
    <w:rsid w:val="007E486E"/>
    <w:rsid w:val="007E5594"/>
    <w:rsid w:val="007E6556"/>
    <w:rsid w:val="007F38E2"/>
    <w:rsid w:val="007F59C7"/>
    <w:rsid w:val="00801CA5"/>
    <w:rsid w:val="00804069"/>
    <w:rsid w:val="00805BB0"/>
    <w:rsid w:val="00810ADE"/>
    <w:rsid w:val="00810BE5"/>
    <w:rsid w:val="00811C50"/>
    <w:rsid w:val="00813913"/>
    <w:rsid w:val="0082225C"/>
    <w:rsid w:val="008326BB"/>
    <w:rsid w:val="00836948"/>
    <w:rsid w:val="008373A1"/>
    <w:rsid w:val="008455CA"/>
    <w:rsid w:val="00852845"/>
    <w:rsid w:val="008539AB"/>
    <w:rsid w:val="008578AD"/>
    <w:rsid w:val="00864B67"/>
    <w:rsid w:val="0086641E"/>
    <w:rsid w:val="00871B0B"/>
    <w:rsid w:val="00873006"/>
    <w:rsid w:val="00874C7C"/>
    <w:rsid w:val="00874F0E"/>
    <w:rsid w:val="00877618"/>
    <w:rsid w:val="00880EC0"/>
    <w:rsid w:val="008873F6"/>
    <w:rsid w:val="008979A6"/>
    <w:rsid w:val="00897C44"/>
    <w:rsid w:val="008A2B00"/>
    <w:rsid w:val="008A4BD6"/>
    <w:rsid w:val="008B09C6"/>
    <w:rsid w:val="008B2770"/>
    <w:rsid w:val="008B53C1"/>
    <w:rsid w:val="008C58AA"/>
    <w:rsid w:val="008D00AF"/>
    <w:rsid w:val="008D3AC2"/>
    <w:rsid w:val="008D5C75"/>
    <w:rsid w:val="008D7BB9"/>
    <w:rsid w:val="008E141D"/>
    <w:rsid w:val="008E286E"/>
    <w:rsid w:val="008E2A83"/>
    <w:rsid w:val="008E50A4"/>
    <w:rsid w:val="008E6A90"/>
    <w:rsid w:val="008F08EE"/>
    <w:rsid w:val="008F3B4F"/>
    <w:rsid w:val="00900A86"/>
    <w:rsid w:val="00904691"/>
    <w:rsid w:val="009052EE"/>
    <w:rsid w:val="0090572F"/>
    <w:rsid w:val="00911B59"/>
    <w:rsid w:val="00915FBE"/>
    <w:rsid w:val="00922E0C"/>
    <w:rsid w:val="00924265"/>
    <w:rsid w:val="009343EC"/>
    <w:rsid w:val="0093685E"/>
    <w:rsid w:val="009430D2"/>
    <w:rsid w:val="00951000"/>
    <w:rsid w:val="009514D7"/>
    <w:rsid w:val="00961FA9"/>
    <w:rsid w:val="00962880"/>
    <w:rsid w:val="0096398E"/>
    <w:rsid w:val="00965971"/>
    <w:rsid w:val="00970483"/>
    <w:rsid w:val="00974A4F"/>
    <w:rsid w:val="00991465"/>
    <w:rsid w:val="00992C05"/>
    <w:rsid w:val="009A52D0"/>
    <w:rsid w:val="009A59CF"/>
    <w:rsid w:val="009A5EC2"/>
    <w:rsid w:val="009A68D3"/>
    <w:rsid w:val="009B0FEC"/>
    <w:rsid w:val="009C41B4"/>
    <w:rsid w:val="009C59BD"/>
    <w:rsid w:val="009C6A4B"/>
    <w:rsid w:val="009D05D6"/>
    <w:rsid w:val="009D25F4"/>
    <w:rsid w:val="009D337A"/>
    <w:rsid w:val="009E47C8"/>
    <w:rsid w:val="009E584D"/>
    <w:rsid w:val="009E6BE0"/>
    <w:rsid w:val="009F055F"/>
    <w:rsid w:val="00A002C5"/>
    <w:rsid w:val="00A00BE5"/>
    <w:rsid w:val="00A044E0"/>
    <w:rsid w:val="00A05B65"/>
    <w:rsid w:val="00A05C10"/>
    <w:rsid w:val="00A15FB6"/>
    <w:rsid w:val="00A21F7F"/>
    <w:rsid w:val="00A22C64"/>
    <w:rsid w:val="00A26B0A"/>
    <w:rsid w:val="00A34437"/>
    <w:rsid w:val="00A4599D"/>
    <w:rsid w:val="00A57371"/>
    <w:rsid w:val="00A60571"/>
    <w:rsid w:val="00A60B60"/>
    <w:rsid w:val="00A738A1"/>
    <w:rsid w:val="00A802DC"/>
    <w:rsid w:val="00A80549"/>
    <w:rsid w:val="00A8328E"/>
    <w:rsid w:val="00AA347C"/>
    <w:rsid w:val="00AA4F16"/>
    <w:rsid w:val="00AA7A4F"/>
    <w:rsid w:val="00AB31E4"/>
    <w:rsid w:val="00AB3E83"/>
    <w:rsid w:val="00AB5D17"/>
    <w:rsid w:val="00AC7E97"/>
    <w:rsid w:val="00AD0111"/>
    <w:rsid w:val="00AE0C73"/>
    <w:rsid w:val="00AE1DBC"/>
    <w:rsid w:val="00AE6F39"/>
    <w:rsid w:val="00AE7CA6"/>
    <w:rsid w:val="00AF45EE"/>
    <w:rsid w:val="00AF57BF"/>
    <w:rsid w:val="00AF5FC0"/>
    <w:rsid w:val="00AF7181"/>
    <w:rsid w:val="00B01BEA"/>
    <w:rsid w:val="00B02E99"/>
    <w:rsid w:val="00B03E67"/>
    <w:rsid w:val="00B0695D"/>
    <w:rsid w:val="00B06BAE"/>
    <w:rsid w:val="00B14C79"/>
    <w:rsid w:val="00B235C0"/>
    <w:rsid w:val="00B25DF9"/>
    <w:rsid w:val="00B338C3"/>
    <w:rsid w:val="00B34D88"/>
    <w:rsid w:val="00B40D8B"/>
    <w:rsid w:val="00B415DE"/>
    <w:rsid w:val="00B462DF"/>
    <w:rsid w:val="00B47D47"/>
    <w:rsid w:val="00B611BF"/>
    <w:rsid w:val="00B76D3A"/>
    <w:rsid w:val="00B81DD6"/>
    <w:rsid w:val="00B825AB"/>
    <w:rsid w:val="00B847C2"/>
    <w:rsid w:val="00B857E2"/>
    <w:rsid w:val="00B85CD2"/>
    <w:rsid w:val="00BA35B3"/>
    <w:rsid w:val="00BA64E5"/>
    <w:rsid w:val="00BB07FF"/>
    <w:rsid w:val="00BB25D8"/>
    <w:rsid w:val="00BB301D"/>
    <w:rsid w:val="00BB5163"/>
    <w:rsid w:val="00BB65E0"/>
    <w:rsid w:val="00BB67D4"/>
    <w:rsid w:val="00BC09EE"/>
    <w:rsid w:val="00BC35D2"/>
    <w:rsid w:val="00BE4CF2"/>
    <w:rsid w:val="00BE6ACF"/>
    <w:rsid w:val="00BF23F5"/>
    <w:rsid w:val="00BF39D1"/>
    <w:rsid w:val="00BF7094"/>
    <w:rsid w:val="00C000A0"/>
    <w:rsid w:val="00C031F6"/>
    <w:rsid w:val="00C05CB4"/>
    <w:rsid w:val="00C05D81"/>
    <w:rsid w:val="00C07108"/>
    <w:rsid w:val="00C15F7C"/>
    <w:rsid w:val="00C17F4C"/>
    <w:rsid w:val="00C20538"/>
    <w:rsid w:val="00C24D5C"/>
    <w:rsid w:val="00C336A2"/>
    <w:rsid w:val="00C35B91"/>
    <w:rsid w:val="00C35F79"/>
    <w:rsid w:val="00C40927"/>
    <w:rsid w:val="00C5256C"/>
    <w:rsid w:val="00C62DAF"/>
    <w:rsid w:val="00C67D01"/>
    <w:rsid w:val="00C7143B"/>
    <w:rsid w:val="00C73AB8"/>
    <w:rsid w:val="00C748A2"/>
    <w:rsid w:val="00C8130A"/>
    <w:rsid w:val="00C933ED"/>
    <w:rsid w:val="00CA202E"/>
    <w:rsid w:val="00CA360F"/>
    <w:rsid w:val="00CA57D7"/>
    <w:rsid w:val="00CB456F"/>
    <w:rsid w:val="00CC37F0"/>
    <w:rsid w:val="00CC48CA"/>
    <w:rsid w:val="00CC7A40"/>
    <w:rsid w:val="00CD3EE8"/>
    <w:rsid w:val="00CD5D92"/>
    <w:rsid w:val="00CE0620"/>
    <w:rsid w:val="00CE2D7C"/>
    <w:rsid w:val="00CF02FB"/>
    <w:rsid w:val="00CF1075"/>
    <w:rsid w:val="00CF633B"/>
    <w:rsid w:val="00CF7616"/>
    <w:rsid w:val="00D009E6"/>
    <w:rsid w:val="00D00C24"/>
    <w:rsid w:val="00D01FB2"/>
    <w:rsid w:val="00D072B0"/>
    <w:rsid w:val="00D137E4"/>
    <w:rsid w:val="00D1686C"/>
    <w:rsid w:val="00D2210C"/>
    <w:rsid w:val="00D246B2"/>
    <w:rsid w:val="00D25413"/>
    <w:rsid w:val="00D30808"/>
    <w:rsid w:val="00D31AC2"/>
    <w:rsid w:val="00D32779"/>
    <w:rsid w:val="00D32FB6"/>
    <w:rsid w:val="00D33059"/>
    <w:rsid w:val="00D335F0"/>
    <w:rsid w:val="00D35038"/>
    <w:rsid w:val="00D44C18"/>
    <w:rsid w:val="00D47636"/>
    <w:rsid w:val="00D542F5"/>
    <w:rsid w:val="00D608B7"/>
    <w:rsid w:val="00D67A8B"/>
    <w:rsid w:val="00D706C4"/>
    <w:rsid w:val="00D70D50"/>
    <w:rsid w:val="00D73272"/>
    <w:rsid w:val="00D74EF0"/>
    <w:rsid w:val="00D75152"/>
    <w:rsid w:val="00D76F02"/>
    <w:rsid w:val="00D773C2"/>
    <w:rsid w:val="00D85C94"/>
    <w:rsid w:val="00D922C8"/>
    <w:rsid w:val="00D9278A"/>
    <w:rsid w:val="00D938C3"/>
    <w:rsid w:val="00D94286"/>
    <w:rsid w:val="00DA0A70"/>
    <w:rsid w:val="00DB02C3"/>
    <w:rsid w:val="00DB0870"/>
    <w:rsid w:val="00DB0FAB"/>
    <w:rsid w:val="00DB2805"/>
    <w:rsid w:val="00DB3CA9"/>
    <w:rsid w:val="00DB40B0"/>
    <w:rsid w:val="00DB59A1"/>
    <w:rsid w:val="00DC299B"/>
    <w:rsid w:val="00DD01DD"/>
    <w:rsid w:val="00DD08BB"/>
    <w:rsid w:val="00DD51DF"/>
    <w:rsid w:val="00DD5B1F"/>
    <w:rsid w:val="00DE184B"/>
    <w:rsid w:val="00DE1D06"/>
    <w:rsid w:val="00DE580C"/>
    <w:rsid w:val="00DF16F8"/>
    <w:rsid w:val="00DF1F0B"/>
    <w:rsid w:val="00E06FC6"/>
    <w:rsid w:val="00E07620"/>
    <w:rsid w:val="00E10759"/>
    <w:rsid w:val="00E148AA"/>
    <w:rsid w:val="00E15CB6"/>
    <w:rsid w:val="00E247D3"/>
    <w:rsid w:val="00E25F84"/>
    <w:rsid w:val="00E30970"/>
    <w:rsid w:val="00E358F8"/>
    <w:rsid w:val="00E40F10"/>
    <w:rsid w:val="00E571C8"/>
    <w:rsid w:val="00E6576E"/>
    <w:rsid w:val="00E65F83"/>
    <w:rsid w:val="00E6662A"/>
    <w:rsid w:val="00E71FEF"/>
    <w:rsid w:val="00E7290F"/>
    <w:rsid w:val="00E74425"/>
    <w:rsid w:val="00E74ED9"/>
    <w:rsid w:val="00E7592A"/>
    <w:rsid w:val="00E8413D"/>
    <w:rsid w:val="00E84BEB"/>
    <w:rsid w:val="00E85017"/>
    <w:rsid w:val="00E8534D"/>
    <w:rsid w:val="00E926E0"/>
    <w:rsid w:val="00E92ECA"/>
    <w:rsid w:val="00E965BE"/>
    <w:rsid w:val="00EA1175"/>
    <w:rsid w:val="00EA3462"/>
    <w:rsid w:val="00EA5D89"/>
    <w:rsid w:val="00EA5EBA"/>
    <w:rsid w:val="00EB1EB4"/>
    <w:rsid w:val="00EB2793"/>
    <w:rsid w:val="00EB3C75"/>
    <w:rsid w:val="00EB4389"/>
    <w:rsid w:val="00EB4A94"/>
    <w:rsid w:val="00EC431B"/>
    <w:rsid w:val="00EC45E2"/>
    <w:rsid w:val="00EC607D"/>
    <w:rsid w:val="00EC76BF"/>
    <w:rsid w:val="00ED1763"/>
    <w:rsid w:val="00ED70E2"/>
    <w:rsid w:val="00ED71D2"/>
    <w:rsid w:val="00EE1069"/>
    <w:rsid w:val="00EE1D78"/>
    <w:rsid w:val="00EE63EB"/>
    <w:rsid w:val="00EF1DCC"/>
    <w:rsid w:val="00EF2B5B"/>
    <w:rsid w:val="00EF4A12"/>
    <w:rsid w:val="00EF6088"/>
    <w:rsid w:val="00EF677D"/>
    <w:rsid w:val="00F05704"/>
    <w:rsid w:val="00F059EE"/>
    <w:rsid w:val="00F0685D"/>
    <w:rsid w:val="00F12804"/>
    <w:rsid w:val="00F1447C"/>
    <w:rsid w:val="00F374C1"/>
    <w:rsid w:val="00F37714"/>
    <w:rsid w:val="00F42286"/>
    <w:rsid w:val="00F430F1"/>
    <w:rsid w:val="00F468EF"/>
    <w:rsid w:val="00F47DC0"/>
    <w:rsid w:val="00F5176A"/>
    <w:rsid w:val="00F55124"/>
    <w:rsid w:val="00F61057"/>
    <w:rsid w:val="00F63CA0"/>
    <w:rsid w:val="00F65F40"/>
    <w:rsid w:val="00F661FA"/>
    <w:rsid w:val="00F71F0D"/>
    <w:rsid w:val="00F75A2F"/>
    <w:rsid w:val="00F764FD"/>
    <w:rsid w:val="00F77F1D"/>
    <w:rsid w:val="00F800D1"/>
    <w:rsid w:val="00F809C4"/>
    <w:rsid w:val="00F83698"/>
    <w:rsid w:val="00F85C7A"/>
    <w:rsid w:val="00F87D82"/>
    <w:rsid w:val="00F9040E"/>
    <w:rsid w:val="00F91F00"/>
    <w:rsid w:val="00F9394D"/>
    <w:rsid w:val="00F93E1F"/>
    <w:rsid w:val="00F97119"/>
    <w:rsid w:val="00F9790A"/>
    <w:rsid w:val="00FA0520"/>
    <w:rsid w:val="00FA0DE6"/>
    <w:rsid w:val="00FA485A"/>
    <w:rsid w:val="00FA569C"/>
    <w:rsid w:val="00FB0E67"/>
    <w:rsid w:val="00FB2C50"/>
    <w:rsid w:val="00FB2E20"/>
    <w:rsid w:val="00FC27E3"/>
    <w:rsid w:val="00FC79F1"/>
    <w:rsid w:val="00FD326C"/>
    <w:rsid w:val="00FD575C"/>
    <w:rsid w:val="00FD62F9"/>
    <w:rsid w:val="00FE08B2"/>
    <w:rsid w:val="00FE0D8E"/>
    <w:rsid w:val="00FE5723"/>
    <w:rsid w:val="00FE6454"/>
    <w:rsid w:val="00FF28B9"/>
    <w:rsid w:val="00FF3F13"/>
    <w:rsid w:val="00FF4098"/>
    <w:rsid w:val="0137630A"/>
    <w:rsid w:val="02702D13"/>
    <w:rsid w:val="03346EBC"/>
    <w:rsid w:val="04655367"/>
    <w:rsid w:val="05F979C3"/>
    <w:rsid w:val="06002657"/>
    <w:rsid w:val="07015CD5"/>
    <w:rsid w:val="0776450C"/>
    <w:rsid w:val="081707C0"/>
    <w:rsid w:val="08907C6B"/>
    <w:rsid w:val="09951C82"/>
    <w:rsid w:val="0A2F78BF"/>
    <w:rsid w:val="0A7F346C"/>
    <w:rsid w:val="0ADD4F08"/>
    <w:rsid w:val="0B3F2777"/>
    <w:rsid w:val="0B5A00BC"/>
    <w:rsid w:val="0B9A183D"/>
    <w:rsid w:val="0BBA6DAD"/>
    <w:rsid w:val="0BD1304A"/>
    <w:rsid w:val="0C395568"/>
    <w:rsid w:val="0C427813"/>
    <w:rsid w:val="0D8F0789"/>
    <w:rsid w:val="0DE33602"/>
    <w:rsid w:val="0E15651D"/>
    <w:rsid w:val="0EA33819"/>
    <w:rsid w:val="0EAD260C"/>
    <w:rsid w:val="0EE346BD"/>
    <w:rsid w:val="0F064183"/>
    <w:rsid w:val="0F983568"/>
    <w:rsid w:val="100C7022"/>
    <w:rsid w:val="1057106E"/>
    <w:rsid w:val="111D12AE"/>
    <w:rsid w:val="11D521F3"/>
    <w:rsid w:val="12D11D37"/>
    <w:rsid w:val="12D922A2"/>
    <w:rsid w:val="12F70705"/>
    <w:rsid w:val="13B766BD"/>
    <w:rsid w:val="13FA6552"/>
    <w:rsid w:val="147A17CF"/>
    <w:rsid w:val="14FA74CB"/>
    <w:rsid w:val="15AC096E"/>
    <w:rsid w:val="16ED0036"/>
    <w:rsid w:val="199064DE"/>
    <w:rsid w:val="19AC5F87"/>
    <w:rsid w:val="19DA3B46"/>
    <w:rsid w:val="19FB1CC7"/>
    <w:rsid w:val="1A001699"/>
    <w:rsid w:val="1B070283"/>
    <w:rsid w:val="1BD05FED"/>
    <w:rsid w:val="1C185B56"/>
    <w:rsid w:val="1C52796B"/>
    <w:rsid w:val="1C6F4605"/>
    <w:rsid w:val="1D480BFC"/>
    <w:rsid w:val="1D5F38CE"/>
    <w:rsid w:val="1D5F77B4"/>
    <w:rsid w:val="1DA11AFE"/>
    <w:rsid w:val="1EA71413"/>
    <w:rsid w:val="1F195351"/>
    <w:rsid w:val="1F2B3DF2"/>
    <w:rsid w:val="1F77443A"/>
    <w:rsid w:val="20DF4E94"/>
    <w:rsid w:val="21BF77C0"/>
    <w:rsid w:val="21DE2C3B"/>
    <w:rsid w:val="223A2D10"/>
    <w:rsid w:val="22A8476A"/>
    <w:rsid w:val="22F072C5"/>
    <w:rsid w:val="23641FD0"/>
    <w:rsid w:val="23D9206E"/>
    <w:rsid w:val="24C722BE"/>
    <w:rsid w:val="25B7595C"/>
    <w:rsid w:val="26133D35"/>
    <w:rsid w:val="265D1C24"/>
    <w:rsid w:val="26A60202"/>
    <w:rsid w:val="26B24DF9"/>
    <w:rsid w:val="272E5D78"/>
    <w:rsid w:val="2A9C194A"/>
    <w:rsid w:val="2AB44077"/>
    <w:rsid w:val="2B24373C"/>
    <w:rsid w:val="2BDC567A"/>
    <w:rsid w:val="2C0B54AC"/>
    <w:rsid w:val="2C2E3173"/>
    <w:rsid w:val="2CE64353"/>
    <w:rsid w:val="2D0A773C"/>
    <w:rsid w:val="2E9F7E39"/>
    <w:rsid w:val="2F8958A8"/>
    <w:rsid w:val="303D746C"/>
    <w:rsid w:val="310F5E78"/>
    <w:rsid w:val="31110684"/>
    <w:rsid w:val="31573082"/>
    <w:rsid w:val="32521D09"/>
    <w:rsid w:val="32D26E6E"/>
    <w:rsid w:val="33891915"/>
    <w:rsid w:val="33B42DA0"/>
    <w:rsid w:val="33B76D4F"/>
    <w:rsid w:val="33DE267D"/>
    <w:rsid w:val="349A3886"/>
    <w:rsid w:val="35010224"/>
    <w:rsid w:val="367748D6"/>
    <w:rsid w:val="37046FAB"/>
    <w:rsid w:val="37C03AF1"/>
    <w:rsid w:val="37F75B86"/>
    <w:rsid w:val="3836588A"/>
    <w:rsid w:val="3885683C"/>
    <w:rsid w:val="38ED3DD4"/>
    <w:rsid w:val="3A5E2863"/>
    <w:rsid w:val="3A647B05"/>
    <w:rsid w:val="3B9F7003"/>
    <w:rsid w:val="3C7A1ABD"/>
    <w:rsid w:val="3C8B78A3"/>
    <w:rsid w:val="3CE80C69"/>
    <w:rsid w:val="3EA74942"/>
    <w:rsid w:val="3FC76702"/>
    <w:rsid w:val="4008455C"/>
    <w:rsid w:val="40275AB8"/>
    <w:rsid w:val="41CB45A5"/>
    <w:rsid w:val="42CD2859"/>
    <w:rsid w:val="42CF2376"/>
    <w:rsid w:val="42E934F8"/>
    <w:rsid w:val="43AA7C8F"/>
    <w:rsid w:val="43BD7E95"/>
    <w:rsid w:val="44631F28"/>
    <w:rsid w:val="44DB12D0"/>
    <w:rsid w:val="455A725B"/>
    <w:rsid w:val="477C2B8D"/>
    <w:rsid w:val="48476725"/>
    <w:rsid w:val="484B1AF0"/>
    <w:rsid w:val="48F37530"/>
    <w:rsid w:val="4B0E5F1D"/>
    <w:rsid w:val="4BC9422B"/>
    <w:rsid w:val="4C3D6697"/>
    <w:rsid w:val="4DDA23CF"/>
    <w:rsid w:val="4E21623C"/>
    <w:rsid w:val="4ED73F36"/>
    <w:rsid w:val="4F4D0EB7"/>
    <w:rsid w:val="4F650258"/>
    <w:rsid w:val="4FCD3FDD"/>
    <w:rsid w:val="529F1231"/>
    <w:rsid w:val="52EC0AEA"/>
    <w:rsid w:val="53D87174"/>
    <w:rsid w:val="53F25030"/>
    <w:rsid w:val="54163FA3"/>
    <w:rsid w:val="55283551"/>
    <w:rsid w:val="55732FB9"/>
    <w:rsid w:val="56031E51"/>
    <w:rsid w:val="56EF512A"/>
    <w:rsid w:val="573765BA"/>
    <w:rsid w:val="573C525E"/>
    <w:rsid w:val="575E6D6F"/>
    <w:rsid w:val="590B53B6"/>
    <w:rsid w:val="595C45CC"/>
    <w:rsid w:val="597454DF"/>
    <w:rsid w:val="597C07CB"/>
    <w:rsid w:val="59E839FA"/>
    <w:rsid w:val="5B7B4D6C"/>
    <w:rsid w:val="5B9462A0"/>
    <w:rsid w:val="5C441960"/>
    <w:rsid w:val="5D4E5CD1"/>
    <w:rsid w:val="5D8056B5"/>
    <w:rsid w:val="5DC42149"/>
    <w:rsid w:val="5DEF5A0F"/>
    <w:rsid w:val="5E0C0773"/>
    <w:rsid w:val="5E7D0B61"/>
    <w:rsid w:val="5E8D2F3A"/>
    <w:rsid w:val="5ECC2FF3"/>
    <w:rsid w:val="5F0A4194"/>
    <w:rsid w:val="60053022"/>
    <w:rsid w:val="602F54EF"/>
    <w:rsid w:val="60671823"/>
    <w:rsid w:val="60914379"/>
    <w:rsid w:val="613E5146"/>
    <w:rsid w:val="615B2815"/>
    <w:rsid w:val="61884427"/>
    <w:rsid w:val="637F5A87"/>
    <w:rsid w:val="64383768"/>
    <w:rsid w:val="646E1000"/>
    <w:rsid w:val="64D27D34"/>
    <w:rsid w:val="65EC3ABA"/>
    <w:rsid w:val="66F83507"/>
    <w:rsid w:val="683A01CF"/>
    <w:rsid w:val="6AB925F4"/>
    <w:rsid w:val="6ABE650E"/>
    <w:rsid w:val="6BCC7D84"/>
    <w:rsid w:val="6BF11F91"/>
    <w:rsid w:val="6C6031D1"/>
    <w:rsid w:val="6E7B2E0A"/>
    <w:rsid w:val="6E7C3509"/>
    <w:rsid w:val="6F3C0B9C"/>
    <w:rsid w:val="6FA9159E"/>
    <w:rsid w:val="71997DE0"/>
    <w:rsid w:val="72632266"/>
    <w:rsid w:val="73661B62"/>
    <w:rsid w:val="738022B1"/>
    <w:rsid w:val="7395614A"/>
    <w:rsid w:val="73F35F1C"/>
    <w:rsid w:val="73F51221"/>
    <w:rsid w:val="74485A21"/>
    <w:rsid w:val="762A4605"/>
    <w:rsid w:val="76B22892"/>
    <w:rsid w:val="76B54466"/>
    <w:rsid w:val="77CB2BF1"/>
    <w:rsid w:val="78D024B0"/>
    <w:rsid w:val="79B7342D"/>
    <w:rsid w:val="7A407AE8"/>
    <w:rsid w:val="7A8C0F39"/>
    <w:rsid w:val="7AB02B47"/>
    <w:rsid w:val="7AB12BBE"/>
    <w:rsid w:val="7BFE6FDC"/>
    <w:rsid w:val="7D7F2454"/>
    <w:rsid w:val="7E78197D"/>
    <w:rsid w:val="7F070519"/>
    <w:rsid w:val="7F5E514F"/>
    <w:rsid w:val="7F6529AB"/>
    <w:rsid w:val="7FCA0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23"/>
    <w:qFormat/>
    <w:uiPriority w:val="99"/>
    <w:pPr>
      <w:adjustRightInd w:val="0"/>
      <w:spacing w:before="60" w:after="60" w:line="312" w:lineRule="atLeast"/>
      <w:ind w:firstLine="420"/>
      <w:textAlignment w:val="baseline"/>
    </w:pPr>
    <w:rPr>
      <w:rFonts w:ascii="Times New Roman" w:hAnsi="Times New Roman"/>
      <w:kern w:val="0"/>
      <w:sz w:val="24"/>
      <w:szCs w:val="20"/>
    </w:rPr>
  </w:style>
  <w:style w:type="paragraph" w:styleId="3">
    <w:name w:val="Document Map"/>
    <w:basedOn w:val="1"/>
    <w:link w:val="24"/>
    <w:qFormat/>
    <w:uiPriority w:val="0"/>
    <w:pPr>
      <w:shd w:val="clear" w:color="auto" w:fill="000080"/>
      <w:adjustRightInd w:val="0"/>
      <w:spacing w:line="360" w:lineRule="atLeast"/>
      <w:jc w:val="left"/>
      <w:textAlignment w:val="baseline"/>
    </w:pPr>
    <w:rPr>
      <w:rFonts w:ascii="Times New Roman" w:hAnsi="Times New Roman"/>
      <w:kern w:val="0"/>
      <w:sz w:val="24"/>
      <w:szCs w:val="20"/>
    </w:rPr>
  </w:style>
  <w:style w:type="paragraph" w:styleId="4">
    <w:name w:val="Body Text Indent"/>
    <w:basedOn w:val="1"/>
    <w:link w:val="16"/>
    <w:qFormat/>
    <w:uiPriority w:val="0"/>
    <w:pPr>
      <w:spacing w:line="360" w:lineRule="auto"/>
      <w:ind w:firstLine="527"/>
    </w:pPr>
    <w:rPr>
      <w:rFonts w:ascii="宋体" w:hAnsi="宋体"/>
      <w:sz w:val="24"/>
    </w:rPr>
  </w:style>
  <w:style w:type="paragraph" w:styleId="5">
    <w:name w:val="Plain Text"/>
    <w:basedOn w:val="1"/>
    <w:link w:val="22"/>
    <w:qFormat/>
    <w:uiPriority w:val="99"/>
    <w:rPr>
      <w:rFonts w:ascii="宋体" w:hAnsi="Courier New" w:cs="Courier New"/>
      <w:szCs w:val="21"/>
    </w:rPr>
  </w:style>
  <w:style w:type="paragraph" w:styleId="6">
    <w:name w:val="Date"/>
    <w:basedOn w:val="1"/>
    <w:next w:val="1"/>
    <w:qFormat/>
    <w:uiPriority w:val="0"/>
    <w:pPr>
      <w:ind w:left="100" w:leftChars="2500"/>
    </w:pPr>
  </w:style>
  <w:style w:type="paragraph" w:styleId="7">
    <w:name w:val="Body Text Indent 2"/>
    <w:basedOn w:val="1"/>
    <w:link w:val="21"/>
    <w:qFormat/>
    <w:uiPriority w:val="0"/>
    <w:pPr>
      <w:spacing w:after="120" w:line="480" w:lineRule="auto"/>
      <w:ind w:left="420" w:leftChars="200"/>
    </w:p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Hyperlink"/>
    <w:basedOn w:val="13"/>
    <w:qFormat/>
    <w:uiPriority w:val="0"/>
    <w:rPr>
      <w:color w:val="0000FF"/>
      <w:u w:val="single"/>
    </w:rPr>
  </w:style>
  <w:style w:type="character" w:customStyle="1" w:styleId="16">
    <w:name w:val="正文文本缩进 Char"/>
    <w:basedOn w:val="13"/>
    <w:link w:val="4"/>
    <w:qFormat/>
    <w:uiPriority w:val="0"/>
    <w:rPr>
      <w:rFonts w:ascii="宋体" w:hAnsi="宋体" w:eastAsia="宋体"/>
      <w:kern w:val="2"/>
      <w:sz w:val="24"/>
      <w:szCs w:val="24"/>
      <w:lang w:val="en-US" w:eastAsia="zh-CN" w:bidi="ar-SA"/>
    </w:rPr>
  </w:style>
  <w:style w:type="character" w:customStyle="1" w:styleId="17">
    <w:name w:val="tpc_content1"/>
    <w:basedOn w:val="13"/>
    <w:qFormat/>
    <w:uiPriority w:val="0"/>
    <w:rPr>
      <w:sz w:val="20"/>
      <w:szCs w:val="20"/>
    </w:rPr>
  </w:style>
  <w:style w:type="character" w:customStyle="1" w:styleId="18">
    <w:name w:val="font11"/>
    <w:basedOn w:val="13"/>
    <w:qFormat/>
    <w:uiPriority w:val="0"/>
    <w:rPr>
      <w:rFonts w:hint="eastAsia" w:ascii="宋体" w:hAnsi="宋体" w:eastAsia="宋体" w:cs="宋体"/>
      <w:color w:val="000000"/>
      <w:sz w:val="20"/>
      <w:szCs w:val="20"/>
      <w:u w:val="none"/>
    </w:rPr>
  </w:style>
  <w:style w:type="character" w:customStyle="1" w:styleId="19">
    <w:name w:val="font01"/>
    <w:basedOn w:val="13"/>
    <w:qFormat/>
    <w:uiPriority w:val="0"/>
    <w:rPr>
      <w:rFonts w:hint="default" w:ascii="Times New Roman" w:hAnsi="Times New Roman" w:cs="Times New Roman"/>
      <w:color w:val="000000"/>
      <w:sz w:val="20"/>
      <w:szCs w:val="20"/>
      <w:u w:val="none"/>
    </w:rPr>
  </w:style>
  <w:style w:type="paragraph" w:customStyle="1" w:styleId="20">
    <w:name w:val="列出段落1"/>
    <w:basedOn w:val="1"/>
    <w:qFormat/>
    <w:uiPriority w:val="0"/>
    <w:pPr>
      <w:ind w:firstLine="420" w:firstLineChars="200"/>
    </w:pPr>
  </w:style>
  <w:style w:type="character" w:customStyle="1" w:styleId="21">
    <w:name w:val="正文文本缩进 2 Char"/>
    <w:basedOn w:val="13"/>
    <w:link w:val="7"/>
    <w:qFormat/>
    <w:uiPriority w:val="0"/>
    <w:rPr>
      <w:kern w:val="2"/>
      <w:sz w:val="21"/>
      <w:szCs w:val="24"/>
    </w:rPr>
  </w:style>
  <w:style w:type="character" w:customStyle="1" w:styleId="22">
    <w:name w:val="纯文本 Char"/>
    <w:basedOn w:val="13"/>
    <w:link w:val="5"/>
    <w:qFormat/>
    <w:locked/>
    <w:uiPriority w:val="99"/>
    <w:rPr>
      <w:rFonts w:ascii="宋体" w:hAnsi="Courier New" w:cs="Courier New"/>
      <w:kern w:val="2"/>
      <w:sz w:val="21"/>
      <w:szCs w:val="21"/>
    </w:rPr>
  </w:style>
  <w:style w:type="character" w:customStyle="1" w:styleId="23">
    <w:name w:val="正文缩进 Char"/>
    <w:link w:val="2"/>
    <w:qFormat/>
    <w:locked/>
    <w:uiPriority w:val="99"/>
    <w:rPr>
      <w:rFonts w:ascii="Times New Roman" w:hAnsi="Times New Roman"/>
      <w:sz w:val="24"/>
    </w:rPr>
  </w:style>
  <w:style w:type="character" w:customStyle="1" w:styleId="24">
    <w:name w:val="文档结构图 Char"/>
    <w:basedOn w:val="13"/>
    <w:link w:val="3"/>
    <w:qFormat/>
    <w:uiPriority w:val="0"/>
    <w:rPr>
      <w:rFonts w:ascii="Times New Roman" w:hAnsi="Times New Roman"/>
      <w:sz w:val="24"/>
      <w:shd w:val="clear" w:color="auto" w:fill="000080"/>
    </w:rPr>
  </w:style>
  <w:style w:type="paragraph" w:customStyle="1" w:styleId="25">
    <w:name w:val="样式9"/>
    <w:basedOn w:val="1"/>
    <w:qFormat/>
    <w:uiPriority w:val="0"/>
    <w:pPr>
      <w:spacing w:line="320" w:lineRule="atLeast"/>
    </w:pPr>
    <w:rPr>
      <w:rFonts w:ascii="KaiTi_GB2312" w:hAnsi="Times New Roman" w:eastAsia="KaiTi_GB2312"/>
      <w:spacing w:val="20"/>
      <w:sz w:val="28"/>
      <w:szCs w:val="20"/>
    </w:rPr>
  </w:style>
  <w:style w:type="paragraph" w:customStyle="1" w:styleId="26">
    <w:name w:val="zw"/>
    <w:basedOn w:val="1"/>
    <w:qFormat/>
    <w:uiPriority w:val="0"/>
    <w:pPr>
      <w:autoSpaceDE w:val="0"/>
      <w:autoSpaceDN w:val="0"/>
      <w:adjustRightInd w:val="0"/>
      <w:spacing w:line="360" w:lineRule="auto"/>
      <w:ind w:firstLine="482"/>
      <w:textAlignment w:val="bottom"/>
    </w:pPr>
    <w:rPr>
      <w:rFonts w:ascii="Arial Narrow" w:hAnsi="Arial Narrow" w:eastAsia="仿宋_GB2312"/>
      <w:kern w:val="0"/>
      <w:sz w:val="24"/>
      <w:szCs w:val="20"/>
    </w:rPr>
  </w:style>
  <w:style w:type="character" w:customStyle="1" w:styleId="27">
    <w:name w:val="font21"/>
    <w:basedOn w:val="13"/>
    <w:qFormat/>
    <w:uiPriority w:val="0"/>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95064F-C3B5-4C13-A87D-C3D2D859A2ED}">
  <ds:schemaRefs/>
</ds:datastoreItem>
</file>

<file path=docProps/app.xml><?xml version="1.0" encoding="utf-8"?>
<Properties xmlns="http://schemas.openxmlformats.org/officeDocument/2006/extended-properties" xmlns:vt="http://schemas.openxmlformats.org/officeDocument/2006/docPropsVTypes">
  <Template>Normal</Template>
  <Company>hh</Company>
  <Pages>16</Pages>
  <Words>10263</Words>
  <Characters>10859</Characters>
  <Lines>78</Lines>
  <Paragraphs>22</Paragraphs>
  <TotalTime>3</TotalTime>
  <ScaleCrop>false</ScaleCrop>
  <LinksUpToDate>false</LinksUpToDate>
  <CharactersWithSpaces>10955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2021-01-25T07:19:00Z</dcterms:created>
  <dc:creator>cfy</dc:creator>
  <cp:lastModifiedBy>滕禹铄，</cp:lastModifiedBy>
  <cp:lastPrinted>2021-11-16T07:20:00Z</cp:lastPrinted>
  <dcterms:modified xsi:type="dcterms:W3CDTF">2022-04-18T01:19:09Z</dcterms:modified>
  <dc:title>辽源市人民防空办公室</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8E023290887B4DEA8D6CCCCA9DFB4148</vt:lpwstr>
  </property>
</Properties>
</file>